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8D4C00">
        <w:rPr>
          <w:rFonts w:ascii="Arial" w:hAnsi="Arial" w:cs="Arial"/>
          <w:sz w:val="20"/>
          <w:szCs w:val="20"/>
        </w:rPr>
        <w:t>Научная конференция ЛОМОНОСОВСКИЕ ЧТЕНИЯ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8D4C00">
        <w:rPr>
          <w:rFonts w:ascii="Arial" w:hAnsi="Arial" w:cs="Arial"/>
          <w:sz w:val="20"/>
          <w:szCs w:val="20"/>
        </w:rPr>
        <w:t xml:space="preserve">Апрель 2003 года, Секция ГЕОЛОГИЯ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8D4C00">
        <w:rPr>
          <w:rFonts w:ascii="Arial" w:hAnsi="Arial" w:cs="Arial"/>
          <w:sz w:val="20"/>
          <w:szCs w:val="20"/>
        </w:rPr>
        <w:t xml:space="preserve">Алехин Ю.В., Ковальская Н.В., Лапицкий С.А., Минубаева З.И. (каф.геохимии) </w:t>
      </w:r>
    </w:p>
    <w:p w:rsidR="0014266D" w:rsidRPr="008D4C00" w:rsidRDefault="0014266D" w:rsidP="008D4C00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</w:p>
    <w:p w:rsidR="0014266D" w:rsidRDefault="0014266D" w:rsidP="008D4C00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8D4C00">
        <w:rPr>
          <w:rFonts w:ascii="Arial" w:hAnsi="Arial" w:cs="Arial"/>
          <w:b/>
          <w:color w:val="FF0000"/>
          <w:sz w:val="28"/>
          <w:szCs w:val="28"/>
        </w:rPr>
        <w:t xml:space="preserve">Новые результаты исследования диффузионной и </w:t>
      </w:r>
    </w:p>
    <w:p w:rsidR="0014266D" w:rsidRPr="008D4C00" w:rsidRDefault="0014266D" w:rsidP="008D4C00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8D4C00">
        <w:rPr>
          <w:rFonts w:ascii="Arial" w:hAnsi="Arial" w:cs="Arial"/>
          <w:b/>
          <w:color w:val="FF0000"/>
          <w:sz w:val="28"/>
          <w:szCs w:val="28"/>
        </w:rPr>
        <w:t>фильтрационной миграции по</w:t>
      </w:r>
      <w:r w:rsidRPr="008D4C00">
        <w:rPr>
          <w:rFonts w:ascii="Arial" w:hAnsi="Arial" w:cs="Arial"/>
          <w:b/>
          <w:color w:val="FF0000"/>
          <w:sz w:val="28"/>
          <w:szCs w:val="28"/>
        </w:rPr>
        <w:t>д</w:t>
      </w:r>
      <w:r w:rsidRPr="008D4C00">
        <w:rPr>
          <w:rFonts w:ascii="Arial" w:hAnsi="Arial" w:cs="Arial"/>
          <w:b/>
          <w:color w:val="FF0000"/>
          <w:sz w:val="28"/>
          <w:szCs w:val="28"/>
        </w:rPr>
        <w:t>вижных форм ртути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Актуальность проблемы глобального техногенного ртутного загрязнения компоне</w:t>
      </w:r>
      <w:r w:rsidRPr="008D4C00">
        <w:rPr>
          <w:rFonts w:ascii="Arial" w:hAnsi="Arial" w:cs="Arial"/>
          <w:sz w:val="24"/>
          <w:szCs w:val="24"/>
        </w:rPr>
        <w:t>н</w:t>
      </w:r>
      <w:r w:rsidRPr="008D4C00">
        <w:rPr>
          <w:rFonts w:ascii="Arial" w:hAnsi="Arial" w:cs="Arial"/>
          <w:sz w:val="24"/>
          <w:szCs w:val="24"/>
        </w:rPr>
        <w:t>тов окружающей среды несомненна, также как и очевидны противоречия и значител</w:t>
      </w:r>
      <w:r w:rsidRPr="008D4C00">
        <w:rPr>
          <w:rFonts w:ascii="Arial" w:hAnsi="Arial" w:cs="Arial"/>
          <w:sz w:val="24"/>
          <w:szCs w:val="24"/>
        </w:rPr>
        <w:t>ь</w:t>
      </w:r>
      <w:r w:rsidRPr="008D4C00">
        <w:rPr>
          <w:rFonts w:ascii="Arial" w:hAnsi="Arial" w:cs="Arial"/>
          <w:sz w:val="24"/>
          <w:szCs w:val="24"/>
        </w:rPr>
        <w:t>ный разброс оценочных величин антропогенного вклада и источников природной эми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сии. Увеличивающаяся общая антропогенная нагрузка на региональные природные комплексы, очень часто приводит к тому, что уже имеющаяся в среде обитания челов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ка ртуть переходит (реэмиссия) в более подвижные и существенно более токсичные формы. Для решения проблем ртутного загрязнения необходимы экспериментальные данные по закономерностям миграции форм ртути, без которых невозможен расч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 транспортных параметров. Эксперименты по фильтрационному переносу подвижных форм ртути, а также изучение и выявление форм миграции ртути в газовой фазе, кол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чественный уч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 распределения ртути между фазами и особенностей миграции этого элемента в условиях</w:t>
      </w:r>
      <w:r>
        <w:rPr>
          <w:rFonts w:ascii="Arial" w:hAnsi="Arial" w:cs="Arial"/>
          <w:sz w:val="24"/>
          <w:szCs w:val="24"/>
        </w:rPr>
        <w:t>,</w:t>
      </w:r>
      <w:r w:rsidRPr="008D4C00">
        <w:rPr>
          <w:rFonts w:ascii="Arial" w:hAnsi="Arial" w:cs="Arial"/>
          <w:sz w:val="24"/>
          <w:szCs w:val="24"/>
        </w:rPr>
        <w:t xml:space="preserve"> близких к природным</w:t>
      </w:r>
      <w:r>
        <w:rPr>
          <w:rFonts w:ascii="Arial" w:hAnsi="Arial" w:cs="Arial"/>
          <w:sz w:val="24"/>
          <w:szCs w:val="24"/>
        </w:rPr>
        <w:t>,</w:t>
      </w:r>
      <w:r w:rsidRPr="008D4C00">
        <w:rPr>
          <w:rFonts w:ascii="Arial" w:hAnsi="Arial" w:cs="Arial"/>
          <w:sz w:val="24"/>
          <w:szCs w:val="24"/>
        </w:rPr>
        <w:t xml:space="preserve"> имеют практическое применение в задачах регионального и локального уровня по иммобилизации и перехвату ртути на различных геохимических барьерах. Эти серии методически различных экспериментов выполнены с использованием образцов, отобранных нами по разрезам шурфов и скважин ручного и колонкового бурения нескольких регионов: Прибайкальских степей и Байкальской рифтовой зоны (в том числе в районе химического комбината “Усольехимпром”, и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пользующего ртуть в промышленных установках электролиза и в процессах химическ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го катализа), образцов верхнеюрских глин и суглинков Москвы и Подмосковья и вер</w:t>
      </w:r>
      <w:r w:rsidRPr="008D4C00">
        <w:rPr>
          <w:rFonts w:ascii="Arial" w:hAnsi="Arial" w:cs="Arial"/>
          <w:sz w:val="24"/>
          <w:szCs w:val="24"/>
        </w:rPr>
        <w:t>х</w:t>
      </w:r>
      <w:r w:rsidRPr="008D4C00">
        <w:rPr>
          <w:rFonts w:ascii="Arial" w:hAnsi="Arial" w:cs="Arial"/>
          <w:sz w:val="24"/>
          <w:szCs w:val="24"/>
        </w:rPr>
        <w:t xml:space="preserve">нечетвертичных песков Мещерской низменности. Ранее [1] нами </w:t>
      </w:r>
      <w:r>
        <w:rPr>
          <w:rFonts w:ascii="Arial" w:hAnsi="Arial" w:cs="Arial"/>
          <w:sz w:val="24"/>
          <w:szCs w:val="24"/>
        </w:rPr>
        <w:t xml:space="preserve">было </w:t>
      </w:r>
      <w:r w:rsidRPr="008D4C00">
        <w:rPr>
          <w:rFonts w:ascii="Arial" w:hAnsi="Arial" w:cs="Arial"/>
          <w:sz w:val="24"/>
          <w:szCs w:val="24"/>
        </w:rPr>
        <w:t xml:space="preserve">показано, что элементарная ртуть не гидратируется. 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350BD">
        <w:rPr>
          <w:rFonts w:ascii="Arial" w:hAnsi="Arial" w:cs="Arial"/>
          <w:b/>
          <w:sz w:val="24"/>
          <w:szCs w:val="24"/>
        </w:rPr>
        <w:t>Результаты статических экспериментов по определению</w:t>
      </w:r>
    </w:p>
    <w:p w:rsidR="0014266D" w:rsidRPr="00D350BD" w:rsidRDefault="0014266D" w:rsidP="008D4C00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350BD">
        <w:rPr>
          <w:rFonts w:ascii="Arial" w:hAnsi="Arial" w:cs="Arial"/>
          <w:b/>
          <w:sz w:val="24"/>
          <w:szCs w:val="24"/>
        </w:rPr>
        <w:t>поглощающей способн</w:t>
      </w:r>
      <w:r w:rsidRPr="00D350BD">
        <w:rPr>
          <w:rFonts w:ascii="Arial" w:hAnsi="Arial" w:cs="Arial"/>
          <w:b/>
          <w:sz w:val="24"/>
          <w:szCs w:val="24"/>
        </w:rPr>
        <w:t>о</w:t>
      </w:r>
      <w:r w:rsidRPr="00D350BD">
        <w:rPr>
          <w:rFonts w:ascii="Arial" w:hAnsi="Arial" w:cs="Arial"/>
          <w:b/>
          <w:sz w:val="24"/>
          <w:szCs w:val="24"/>
        </w:rPr>
        <w:t xml:space="preserve">сти суглинков 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Необходимость выполнения экспериментальных работ этой стадии связана с тем, что миграционные параметры и поглощающая способность юрских глин и суглинков как потенциального геохимического экрана определялась в динамических условиях при медленной фильтрации растворов, представленных уже водными вытяжками из обра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>цов, техногенно загрязн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нных даже элементарной ртутью, то есть при сохранении ра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>нообразия миграционных форм, что затрудняет интерпретацию данных по поглощ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нию. Значительная экстракция ртути из этих образцов (до 1.5-3.5 мг/л) при крайне ни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>кой собственной растворимости элементарной ртути явно свидетельствовала о прео</w:t>
      </w:r>
      <w:r w:rsidRPr="008D4C00">
        <w:rPr>
          <w:rFonts w:ascii="Arial" w:hAnsi="Arial" w:cs="Arial"/>
          <w:sz w:val="24"/>
          <w:szCs w:val="24"/>
        </w:rPr>
        <w:t>б</w:t>
      </w:r>
      <w:r w:rsidRPr="008D4C00">
        <w:rPr>
          <w:rFonts w:ascii="Arial" w:hAnsi="Arial" w:cs="Arial"/>
          <w:sz w:val="24"/>
          <w:szCs w:val="24"/>
        </w:rPr>
        <w:t>ладании катионных (окисленных) форм ртути в водах загрязн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нного участка. Поэтому для выяснения динамики поглощения ртути из растворов была использована серия растворов азотнокислой ртути Hg(NO</w:t>
      </w:r>
      <w:r w:rsidRPr="00D350BD">
        <w:rPr>
          <w:rFonts w:ascii="Arial" w:hAnsi="Arial" w:cs="Arial"/>
          <w:sz w:val="24"/>
          <w:szCs w:val="24"/>
          <w:vertAlign w:val="subscript"/>
        </w:rPr>
        <w:t>3</w:t>
      </w:r>
      <w:r w:rsidRPr="008D4C00">
        <w:rPr>
          <w:rFonts w:ascii="Arial" w:hAnsi="Arial" w:cs="Arial"/>
          <w:sz w:val="24"/>
          <w:szCs w:val="24"/>
        </w:rPr>
        <w:t>)</w:t>
      </w:r>
      <w:r w:rsidRPr="00D350BD">
        <w:rPr>
          <w:rFonts w:ascii="Arial" w:hAnsi="Arial" w:cs="Arial"/>
          <w:sz w:val="24"/>
          <w:szCs w:val="24"/>
          <w:vertAlign w:val="subscript"/>
        </w:rPr>
        <w:t>2</w:t>
      </w:r>
      <w:r w:rsidRPr="008D4C00">
        <w:rPr>
          <w:rFonts w:ascii="Arial" w:hAnsi="Arial" w:cs="Arial"/>
          <w:sz w:val="24"/>
          <w:szCs w:val="24"/>
        </w:rPr>
        <w:t xml:space="preserve"> различной концентрации в диапазоне от 0.01 до 15 мг/л. Отбор проб производился через 5 часов, а также через 1, 5, 16, 30 и 54 дня. Необходимость получения временных зависимостей связана с тем, что процессы ос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дительной иммобилизации, в отличие от адсорбционных, могут протекать достаточно медленно при химическом уравновешивании растворов с минеральными фазами ка</w:t>
      </w:r>
      <w:r w:rsidRPr="008D4C00">
        <w:rPr>
          <w:rFonts w:ascii="Arial" w:hAnsi="Arial" w:cs="Arial"/>
          <w:sz w:val="24"/>
          <w:szCs w:val="24"/>
        </w:rPr>
        <w:t>р</w:t>
      </w:r>
      <w:r w:rsidRPr="008D4C00">
        <w:rPr>
          <w:rFonts w:ascii="Arial" w:hAnsi="Arial" w:cs="Arial"/>
          <w:sz w:val="24"/>
          <w:szCs w:val="24"/>
        </w:rPr>
        <w:t>бонатных суглинков, испытывающих растворение, а затем частичное осаждение и п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 xml:space="preserve">рекристаллизацию.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Характерные времена экспериментов выбраны такими, чтобы быть сопоставимыми с временами медленной инфильтрации растворов в экспериментах и через “стену в грунте” мощностью 0.5-</w:t>
      </w:r>
      <w:smartTag w:uri="urn:schemas-microsoft-com:office:smarttags" w:element="metricconverter">
        <w:smartTagPr>
          <w:attr w:name="ProductID" w:val="1.0 м"/>
        </w:smartTagPr>
        <w:r w:rsidRPr="008D4C00">
          <w:rPr>
            <w:rFonts w:ascii="Arial" w:hAnsi="Arial" w:cs="Arial"/>
            <w:sz w:val="24"/>
            <w:szCs w:val="24"/>
          </w:rPr>
          <w:t>1.0 м</w:t>
        </w:r>
      </w:smartTag>
      <w:r w:rsidRPr="008D4C00">
        <w:rPr>
          <w:rFonts w:ascii="Arial" w:hAnsi="Arial" w:cs="Arial"/>
          <w:sz w:val="24"/>
          <w:szCs w:val="24"/>
        </w:rPr>
        <w:t>. В каждой отобранной пробе раствора производилось и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>мерение ртути на анализаторе ИМГРЭ-900 [2], также контролировалась кислотность (рН), а количество поглощ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нной ртути на каждый момент времени рассч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тывалось с уч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том отобранных аликвот накопительно. Основная информация этого блока эксп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риментов – остаточные равновесные концентрации ртути в растворах и к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личества ртути, поглощенные образцами суглинка при разных исходных концентрац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ях, а также динамика изменения рН растворов. Несмотря на значительную исходную разницу рН растворов от 4.7 до 6.5, обусловленную ра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>личными концентрациями подкисленных растворов Hg(NO</w:t>
      </w:r>
      <w:r w:rsidRPr="00D350BD">
        <w:rPr>
          <w:rFonts w:ascii="Arial" w:hAnsi="Arial" w:cs="Arial"/>
          <w:sz w:val="24"/>
          <w:szCs w:val="24"/>
          <w:vertAlign w:val="subscript"/>
        </w:rPr>
        <w:t>3</w:t>
      </w:r>
      <w:r w:rsidRPr="008D4C00">
        <w:rPr>
          <w:rFonts w:ascii="Arial" w:hAnsi="Arial" w:cs="Arial"/>
          <w:sz w:val="24"/>
          <w:szCs w:val="24"/>
        </w:rPr>
        <w:t>)</w:t>
      </w:r>
      <w:r w:rsidRPr="00D350BD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,</w:t>
      </w:r>
      <w:r w:rsidRPr="008D4C00">
        <w:rPr>
          <w:rFonts w:ascii="Arial" w:hAnsi="Arial" w:cs="Arial"/>
          <w:sz w:val="24"/>
          <w:szCs w:val="24"/>
        </w:rPr>
        <w:t xml:space="preserve"> уже по прошествии 5 ч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сов различия в кислотностях оказались в пределах единицы рН (7.7-8.3), что обусло</w:t>
      </w:r>
      <w:r w:rsidRPr="008D4C00">
        <w:rPr>
          <w:rFonts w:ascii="Arial" w:hAnsi="Arial" w:cs="Arial"/>
          <w:sz w:val="24"/>
          <w:szCs w:val="24"/>
        </w:rPr>
        <w:t>в</w:t>
      </w:r>
      <w:r w:rsidRPr="008D4C00">
        <w:rPr>
          <w:rFonts w:ascii="Arial" w:hAnsi="Arial" w:cs="Arial"/>
          <w:sz w:val="24"/>
          <w:szCs w:val="24"/>
        </w:rPr>
        <w:t xml:space="preserve">лено высокой карбонатностью суглинков. 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Полученные данные свидетельствуют о том, что по прошествии 54 суток конце</w:t>
      </w:r>
      <w:r w:rsidRPr="008D4C00">
        <w:rPr>
          <w:rFonts w:ascii="Arial" w:hAnsi="Arial" w:cs="Arial"/>
          <w:sz w:val="24"/>
          <w:szCs w:val="24"/>
        </w:rPr>
        <w:t>н</w:t>
      </w:r>
      <w:r w:rsidRPr="008D4C00">
        <w:rPr>
          <w:rFonts w:ascii="Arial" w:hAnsi="Arial" w:cs="Arial"/>
          <w:sz w:val="24"/>
          <w:szCs w:val="24"/>
        </w:rPr>
        <w:t>трации ртути во всех растворах (независимо от начальных) вышли на один уровень (0.025 мг/л), что, очевидно, свидетельствует не об адсорбционном поглощении ртути из растворов, а об е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 химическом осаждении. В данном случае возможно образование двух веществ – карбоната и гидроокиси Hg(II), даже если не принимать во внимание при расч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тах более сложные случаи комплексообразования с компонентами погл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щ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нного комплекса природных суглинков. 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Рассчитав произведения концентраций и сравнив их с произведениями раствор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мости каждой из возможных фаз, можно прийти к выводу, что наиболее вероятной тв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рдой фазой является Hg(OH)</w:t>
      </w:r>
      <w:r w:rsidRPr="00D350BD">
        <w:rPr>
          <w:rFonts w:ascii="Arial" w:hAnsi="Arial" w:cs="Arial"/>
          <w:sz w:val="24"/>
          <w:szCs w:val="24"/>
          <w:vertAlign w:val="subscript"/>
        </w:rPr>
        <w:t>2</w:t>
      </w:r>
      <w:r w:rsidRPr="008D4C00">
        <w:rPr>
          <w:rFonts w:ascii="Arial" w:hAnsi="Arial" w:cs="Arial"/>
          <w:sz w:val="24"/>
          <w:szCs w:val="24"/>
        </w:rPr>
        <w:t>, по которой при исходных концентрациях ртути в и</w:t>
      </w:r>
      <w:r w:rsidRPr="008D4C00">
        <w:rPr>
          <w:rFonts w:ascii="Arial" w:hAnsi="Arial" w:cs="Arial"/>
          <w:sz w:val="24"/>
          <w:szCs w:val="24"/>
        </w:rPr>
        <w:t>н</w:t>
      </w:r>
      <w:r w:rsidRPr="008D4C00">
        <w:rPr>
          <w:rFonts w:ascii="Arial" w:hAnsi="Arial" w:cs="Arial"/>
          <w:sz w:val="24"/>
          <w:szCs w:val="24"/>
        </w:rPr>
        <w:t>тервале 0.01-15 мг/л при конечных значениях рН порядка 8 достигается пересыщ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ние на многие порядки. Остаточные концентрации ртути в равновесном растворе, очеви</w:t>
      </w:r>
      <w:r w:rsidRPr="008D4C00">
        <w:rPr>
          <w:rFonts w:ascii="Arial" w:hAnsi="Arial" w:cs="Arial"/>
          <w:sz w:val="24"/>
          <w:szCs w:val="24"/>
        </w:rPr>
        <w:t>д</w:t>
      </w:r>
      <w:r w:rsidRPr="008D4C00">
        <w:rPr>
          <w:rFonts w:ascii="Arial" w:hAnsi="Arial" w:cs="Arial"/>
          <w:sz w:val="24"/>
          <w:szCs w:val="24"/>
        </w:rPr>
        <w:t>но, отвечают преобладанию закомплексованных форм двухвалентной ртути, так как они также на несколько порядков превышают расч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тные концентрации иона Hg</w:t>
      </w:r>
      <w:r w:rsidRPr="00D350BD">
        <w:rPr>
          <w:rFonts w:ascii="Arial" w:hAnsi="Arial" w:cs="Arial"/>
          <w:sz w:val="24"/>
          <w:szCs w:val="24"/>
          <w:vertAlign w:val="superscript"/>
        </w:rPr>
        <w:t>2+</w:t>
      </w:r>
      <w:r w:rsidRPr="008D4C00">
        <w:rPr>
          <w:rFonts w:ascii="Arial" w:hAnsi="Arial" w:cs="Arial"/>
          <w:sz w:val="24"/>
          <w:szCs w:val="24"/>
        </w:rPr>
        <w:t xml:space="preserve">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Основное назначение этих экспериментов, конечно, не определение степени пер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сыщения и соответствия остаточной концентрации иона Hg</w:t>
      </w:r>
      <w:r w:rsidRPr="00D350BD">
        <w:rPr>
          <w:rFonts w:ascii="Arial" w:hAnsi="Arial" w:cs="Arial"/>
          <w:sz w:val="24"/>
          <w:szCs w:val="24"/>
          <w:vertAlign w:val="superscript"/>
        </w:rPr>
        <w:t>2+</w:t>
      </w:r>
      <w:r w:rsidRPr="008D4C00">
        <w:rPr>
          <w:rFonts w:ascii="Arial" w:hAnsi="Arial" w:cs="Arial"/>
          <w:sz w:val="24"/>
          <w:szCs w:val="24"/>
        </w:rPr>
        <w:t xml:space="preserve"> концентрации равнов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сия с Hg(OH)</w:t>
      </w:r>
      <w:r w:rsidRPr="00D350BD">
        <w:rPr>
          <w:rFonts w:ascii="Arial" w:hAnsi="Arial" w:cs="Arial"/>
          <w:sz w:val="24"/>
          <w:szCs w:val="24"/>
          <w:vertAlign w:val="subscript"/>
        </w:rPr>
        <w:t>2</w:t>
      </w:r>
      <w:r w:rsidRPr="008D4C00">
        <w:rPr>
          <w:rFonts w:ascii="Arial" w:hAnsi="Arial" w:cs="Arial"/>
          <w:sz w:val="24"/>
          <w:szCs w:val="24"/>
        </w:rPr>
        <w:t>, а определение поглотительной способности конкретного суглинка по мех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низму осаждения, который и предполагается использовать в качестве основного де</w:t>
      </w:r>
      <w:r w:rsidRPr="008D4C00">
        <w:rPr>
          <w:rFonts w:ascii="Arial" w:hAnsi="Arial" w:cs="Arial"/>
          <w:sz w:val="24"/>
          <w:szCs w:val="24"/>
        </w:rPr>
        <w:t>й</w:t>
      </w:r>
      <w:r w:rsidRPr="008D4C00">
        <w:rPr>
          <w:rFonts w:ascii="Arial" w:hAnsi="Arial" w:cs="Arial"/>
          <w:sz w:val="24"/>
          <w:szCs w:val="24"/>
        </w:rPr>
        <w:t>ствующего фактора на геохимическом барьере. В этом случае наиболее важным явл</w:t>
      </w:r>
      <w:r w:rsidRPr="008D4C00">
        <w:rPr>
          <w:rFonts w:ascii="Arial" w:hAnsi="Arial" w:cs="Arial"/>
          <w:sz w:val="24"/>
          <w:szCs w:val="24"/>
        </w:rPr>
        <w:t>я</w:t>
      </w:r>
      <w:r w:rsidRPr="008D4C00">
        <w:rPr>
          <w:rFonts w:ascii="Arial" w:hAnsi="Arial" w:cs="Arial"/>
          <w:sz w:val="24"/>
          <w:szCs w:val="24"/>
        </w:rPr>
        <w:t>ется определение кислотно-щелочной буферности суглинка, так как механизм погл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щения существенно не адсорбционный и зависит от карбонатной буферности ср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 xml:space="preserve">ды. 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D350BD" w:rsidRDefault="0014266D" w:rsidP="008D4C00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350BD">
        <w:rPr>
          <w:rFonts w:ascii="Arial" w:hAnsi="Arial" w:cs="Arial"/>
          <w:b/>
          <w:sz w:val="24"/>
          <w:szCs w:val="24"/>
        </w:rPr>
        <w:t xml:space="preserve">Результаты фильтрационных экспериментов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Исходный раствор с содержанием ртути 2.2 мг/л (водная вытяжка из образца, от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бранного из-под цеха ртутного электролиза ОАО “Усольехимпром”) фильтровался ч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рез колонку из суглинка с исходной концентрацией ртути 0.024 мг/кг. Условия медле</w:t>
      </w:r>
      <w:r w:rsidRPr="008D4C00">
        <w:rPr>
          <w:rFonts w:ascii="Arial" w:hAnsi="Arial" w:cs="Arial"/>
          <w:sz w:val="24"/>
          <w:szCs w:val="24"/>
        </w:rPr>
        <w:t>н</w:t>
      </w:r>
      <w:r w:rsidRPr="008D4C00">
        <w:rPr>
          <w:rFonts w:ascii="Arial" w:hAnsi="Arial" w:cs="Arial"/>
          <w:sz w:val="24"/>
          <w:szCs w:val="24"/>
        </w:rPr>
        <w:t>ной фильтрации подбирались таким образом</w:t>
      </w:r>
      <w:r w:rsidRPr="00D350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(по </w:t>
      </w:r>
      <w:r w:rsidRPr="008D4C00">
        <w:rPr>
          <w:rFonts w:ascii="Arial" w:hAnsi="Arial" w:cs="Arial"/>
          <w:sz w:val="24"/>
          <w:szCs w:val="24"/>
        </w:rPr>
        <w:t>критери</w:t>
      </w:r>
      <w:r>
        <w:rPr>
          <w:rFonts w:ascii="Arial" w:hAnsi="Arial" w:cs="Arial"/>
          <w:sz w:val="24"/>
          <w:szCs w:val="24"/>
        </w:rPr>
        <w:t>ю</w:t>
      </w:r>
      <w:r w:rsidRPr="008D4C00">
        <w:rPr>
          <w:rFonts w:ascii="Arial" w:hAnsi="Arial" w:cs="Arial"/>
          <w:sz w:val="24"/>
          <w:szCs w:val="24"/>
        </w:rPr>
        <w:t xml:space="preserve"> Пекле</w:t>
      </w:r>
      <w:r>
        <w:rPr>
          <w:rFonts w:ascii="Arial" w:hAnsi="Arial" w:cs="Arial"/>
          <w:sz w:val="24"/>
          <w:szCs w:val="24"/>
        </w:rPr>
        <w:t>)</w:t>
      </w:r>
      <w:r w:rsidRPr="008D4C00">
        <w:rPr>
          <w:rFonts w:ascii="Arial" w:hAnsi="Arial" w:cs="Arial"/>
          <w:sz w:val="24"/>
          <w:szCs w:val="24"/>
        </w:rPr>
        <w:t>, чтобы за время пр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хождения колонки успевали пройти химические реакции осаждения ртути, так как пе</w:t>
      </w:r>
      <w:r w:rsidRPr="008D4C00">
        <w:rPr>
          <w:rFonts w:ascii="Arial" w:hAnsi="Arial" w:cs="Arial"/>
          <w:sz w:val="24"/>
          <w:szCs w:val="24"/>
        </w:rPr>
        <w:t>р</w:t>
      </w:r>
      <w:r w:rsidRPr="008D4C00">
        <w:rPr>
          <w:rFonts w:ascii="Arial" w:hAnsi="Arial" w:cs="Arial"/>
          <w:sz w:val="24"/>
          <w:szCs w:val="24"/>
        </w:rPr>
        <w:t>вые результаты статических опытов указывали на преобладание не адсорбционного мех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низма поглощения. Кислотность исходного раствора вытяжки отвечала pH 8.2, что соответствует насыщению по карбонату кальция в равновесии ка</w:t>
      </w:r>
      <w:r w:rsidRPr="008D4C00">
        <w:rPr>
          <w:rFonts w:ascii="Arial" w:hAnsi="Arial" w:cs="Arial"/>
          <w:sz w:val="24"/>
          <w:szCs w:val="24"/>
        </w:rPr>
        <w:t>р</w:t>
      </w:r>
      <w:r w:rsidRPr="008D4C00">
        <w:rPr>
          <w:rFonts w:ascii="Arial" w:hAnsi="Arial" w:cs="Arial"/>
          <w:sz w:val="24"/>
          <w:szCs w:val="24"/>
        </w:rPr>
        <w:t>бонатных суглинков с раствором вытяжки при атмосферном парциальном давлении углекислоты. Помимо определения концентраций ртути методом выходных кривых в каждой пробе контрол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ровалось рН фильтрата. В начальной стадии эксперимента скорость филь</w:t>
      </w:r>
      <w:r w:rsidRPr="008D4C00">
        <w:rPr>
          <w:rFonts w:ascii="Arial" w:hAnsi="Arial" w:cs="Arial"/>
          <w:sz w:val="24"/>
          <w:szCs w:val="24"/>
        </w:rPr>
        <w:t>т</w:t>
      </w:r>
      <w:r w:rsidRPr="008D4C00">
        <w:rPr>
          <w:rFonts w:ascii="Arial" w:hAnsi="Arial" w:cs="Arial"/>
          <w:sz w:val="24"/>
          <w:szCs w:val="24"/>
        </w:rPr>
        <w:t>рации асимптотически уменьшалась во времени, что объясняется уменьшением п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ристости суглинка при развитии в колонке перекристаллизации и фильтрационного у</w:t>
      </w:r>
      <w:r w:rsidRPr="008D4C00">
        <w:rPr>
          <w:rFonts w:ascii="Arial" w:hAnsi="Arial" w:cs="Arial"/>
          <w:sz w:val="24"/>
          <w:szCs w:val="24"/>
        </w:rPr>
        <w:t>п</w:t>
      </w:r>
      <w:r w:rsidRPr="008D4C00">
        <w:rPr>
          <w:rFonts w:ascii="Arial" w:hAnsi="Arial" w:cs="Arial"/>
          <w:sz w:val="24"/>
          <w:szCs w:val="24"/>
        </w:rPr>
        <w:t xml:space="preserve">лотнения. </w:t>
      </w:r>
    </w:p>
    <w:p w:rsidR="0014266D" w:rsidRPr="008D4C00" w:rsidRDefault="0014266D" w:rsidP="00D350BD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3D2523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184.8pt">
            <v:imagedata r:id="rId4" o:title=""/>
          </v:shape>
        </w:pict>
      </w:r>
    </w:p>
    <w:p w:rsidR="0014266D" w:rsidRPr="00D350BD" w:rsidRDefault="0014266D" w:rsidP="00D350BD">
      <w:pPr>
        <w:spacing w:after="0"/>
        <w:ind w:firstLine="454"/>
        <w:jc w:val="center"/>
        <w:rPr>
          <w:rFonts w:ascii="Arial" w:hAnsi="Arial" w:cs="Arial"/>
          <w:i/>
          <w:sz w:val="20"/>
          <w:szCs w:val="20"/>
        </w:rPr>
      </w:pPr>
      <w:r w:rsidRPr="00D350BD">
        <w:rPr>
          <w:rFonts w:ascii="Arial" w:hAnsi="Arial" w:cs="Arial"/>
          <w:i/>
          <w:sz w:val="20"/>
          <w:szCs w:val="20"/>
        </w:rPr>
        <w:t>Рис. 1. Изменение концентрации выходящего раствора (фильтрата) в ходе филь</w:t>
      </w:r>
      <w:r w:rsidRPr="00D350BD">
        <w:rPr>
          <w:rFonts w:ascii="Arial" w:hAnsi="Arial" w:cs="Arial"/>
          <w:i/>
          <w:sz w:val="20"/>
          <w:szCs w:val="20"/>
        </w:rPr>
        <w:t>т</w:t>
      </w:r>
      <w:r w:rsidRPr="00D350BD">
        <w:rPr>
          <w:rFonts w:ascii="Arial" w:hAnsi="Arial" w:cs="Arial"/>
          <w:i/>
          <w:sz w:val="20"/>
          <w:szCs w:val="20"/>
        </w:rPr>
        <w:t>рации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Обычный в случае адсорбции ассимптотический профиль изменения концентрации фильтрата в нашем случае и через 40 суток практически линеен (концентрации ртути в пробах фильтрата составляют 1.6 мг/л и ещ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 далеки от исходной концентрации филь</w:t>
      </w:r>
      <w:r w:rsidRPr="008D4C00">
        <w:rPr>
          <w:rFonts w:ascii="Arial" w:hAnsi="Arial" w:cs="Arial"/>
          <w:sz w:val="24"/>
          <w:szCs w:val="24"/>
        </w:rPr>
        <w:t>т</w:t>
      </w:r>
      <w:r w:rsidRPr="008D4C00">
        <w:rPr>
          <w:rFonts w:ascii="Arial" w:hAnsi="Arial" w:cs="Arial"/>
          <w:sz w:val="24"/>
          <w:szCs w:val="24"/>
        </w:rPr>
        <w:t>ранта, равной 2.2 мг/л), но со временем различие закономерно уменьшается (рис.1). Можно было бы предположить, что это начальный участок типичного адсорбционного профиля, если бы мы не имели результатов статических экспериментов о постоянстве конечных равновесных концентраций, очевидно определяемых растворимостью тв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р</w:t>
      </w:r>
      <w:r w:rsidRPr="008D4C00">
        <w:rPr>
          <w:rFonts w:ascii="Arial" w:hAnsi="Arial" w:cs="Arial"/>
          <w:sz w:val="24"/>
          <w:szCs w:val="24"/>
        </w:rPr>
        <w:t>дых фаз ртути. Предполагается, что основным механизмом е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 поглощения в обоих случаях </w:t>
      </w:r>
      <w:r>
        <w:rPr>
          <w:rFonts w:ascii="Arial" w:hAnsi="Arial" w:cs="Arial"/>
          <w:sz w:val="24"/>
          <w:szCs w:val="24"/>
        </w:rPr>
        <w:t xml:space="preserve">– </w:t>
      </w:r>
      <w:r w:rsidRPr="008D4C00">
        <w:rPr>
          <w:rFonts w:ascii="Arial" w:hAnsi="Arial" w:cs="Arial"/>
          <w:sz w:val="24"/>
          <w:szCs w:val="24"/>
        </w:rPr>
        <w:t>химическое осаждение, и расч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 поглотительного резерва суглинка в отн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шении ртути должен основываться на содержании карбоната в суглинке и его раств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римости при фильтрации растворов, в том числе техногенных (промстоков), с разли</w:t>
      </w:r>
      <w:r w:rsidRPr="008D4C00">
        <w:rPr>
          <w:rFonts w:ascii="Arial" w:hAnsi="Arial" w:cs="Arial"/>
          <w:sz w:val="24"/>
          <w:szCs w:val="24"/>
        </w:rPr>
        <w:t>ч</w:t>
      </w:r>
      <w:r w:rsidRPr="008D4C00">
        <w:rPr>
          <w:rFonts w:ascii="Arial" w:hAnsi="Arial" w:cs="Arial"/>
          <w:sz w:val="24"/>
          <w:szCs w:val="24"/>
        </w:rPr>
        <w:t>ной исходной кислотностью. Для этого мы выполнили эксперименты по кислотно-щелочному титрованию суспензии суглинков (рис. 2). При сравнении кривых титров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ния было учтено влияние растворимости фаз и кислотно-щелочной буферности обра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>ца. Изучение кислотно-щелочной буферности образца показало, что исследуемые ка</w:t>
      </w:r>
      <w:r w:rsidRPr="008D4C00">
        <w:rPr>
          <w:rFonts w:ascii="Arial" w:hAnsi="Arial" w:cs="Arial"/>
          <w:sz w:val="24"/>
          <w:szCs w:val="24"/>
        </w:rPr>
        <w:t>р</w:t>
      </w:r>
      <w:r w:rsidRPr="008D4C00">
        <w:rPr>
          <w:rFonts w:ascii="Arial" w:hAnsi="Arial" w:cs="Arial"/>
          <w:sz w:val="24"/>
          <w:szCs w:val="24"/>
        </w:rPr>
        <w:t>бонатные суглинки должны обладать весьма высокой депонирующей способностью, определяя рН равновесных растворов и тем самым темпы осадительной иммобилиз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 xml:space="preserve">ции ртути и интегральное поглощенное количество. </w:t>
      </w:r>
    </w:p>
    <w:p w:rsidR="0014266D" w:rsidRDefault="0014266D" w:rsidP="00EA3FD1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3D2523">
        <w:rPr>
          <w:rFonts w:ascii="Arial" w:hAnsi="Arial" w:cs="Arial"/>
          <w:sz w:val="24"/>
          <w:szCs w:val="24"/>
        </w:rPr>
        <w:pict>
          <v:shape id="_x0000_i1026" type="#_x0000_t75" style="width:378pt;height:178.2pt">
            <v:imagedata r:id="rId5" o:title="" croptop="3269f" cropbottom="4927f" cropleft="1988f" cropright="6410f" gain="69719f" blacklevel="-3932f"/>
          </v:shape>
        </w:pict>
      </w:r>
    </w:p>
    <w:p w:rsidR="0014266D" w:rsidRPr="00EA3FD1" w:rsidRDefault="0014266D" w:rsidP="00EA3FD1">
      <w:pPr>
        <w:spacing w:after="0"/>
        <w:ind w:firstLine="454"/>
        <w:jc w:val="center"/>
        <w:rPr>
          <w:rFonts w:ascii="Arial" w:hAnsi="Arial" w:cs="Arial"/>
          <w:i/>
          <w:sz w:val="20"/>
          <w:szCs w:val="20"/>
        </w:rPr>
      </w:pPr>
      <w:r w:rsidRPr="00EA3FD1">
        <w:rPr>
          <w:rFonts w:ascii="Arial" w:hAnsi="Arial" w:cs="Arial"/>
          <w:i/>
          <w:sz w:val="20"/>
          <w:szCs w:val="20"/>
        </w:rPr>
        <w:t>Рис. 2 Кривые кислотно-щелочного титрования суглинка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Значения рН растворов несколько ниже рН карбонатного равновесия для равнов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сия воды с кальцитом (8.4), однако, даже при соотношении тв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рдое/раствор 1:500 о</w:t>
      </w:r>
      <w:r w:rsidRPr="008D4C00">
        <w:rPr>
          <w:rFonts w:ascii="Arial" w:hAnsi="Arial" w:cs="Arial"/>
          <w:sz w:val="24"/>
          <w:szCs w:val="24"/>
        </w:rPr>
        <w:t>б</w:t>
      </w:r>
      <w:r w:rsidRPr="008D4C00">
        <w:rPr>
          <w:rFonts w:ascii="Arial" w:hAnsi="Arial" w:cs="Arial"/>
          <w:sz w:val="24"/>
          <w:szCs w:val="24"/>
        </w:rPr>
        <w:t>разец продолжает обладать высокой буферностью, титруя кислые и щелочные раств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 xml:space="preserve">ры до значений рН карбонатного равновесия.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Для рассматриваемого образца расчеты показывают, что только при фильтрации и взаимодействии каждого грамма суглинка с 2.5 л раствора, после растворения всего карбоната, произойд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 потеря системой карбонатной буферности. Именно это знач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ние объ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ма профильтровавшегося раствора критично для расч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та поглотительной 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</w:t>
      </w:r>
      <w:r w:rsidRPr="008D4C00">
        <w:rPr>
          <w:rFonts w:ascii="Arial" w:hAnsi="Arial" w:cs="Arial"/>
          <w:sz w:val="24"/>
          <w:szCs w:val="24"/>
        </w:rPr>
        <w:t>кости барьера в отношении ртути, однако при меньших скоростях фильтрации или большей мощности барьера следует ожидать б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лее полного извлечения ртути из фильтрующегося раствора. Тем не менее минимальная оценка при линейной аппро</w:t>
      </w:r>
      <w:r w:rsidRPr="008D4C00">
        <w:rPr>
          <w:rFonts w:ascii="Arial" w:hAnsi="Arial" w:cs="Arial"/>
          <w:sz w:val="24"/>
          <w:szCs w:val="24"/>
        </w:rPr>
        <w:t>к</w:t>
      </w:r>
      <w:r w:rsidRPr="008D4C00">
        <w:rPr>
          <w:rFonts w:ascii="Arial" w:hAnsi="Arial" w:cs="Arial"/>
          <w:sz w:val="24"/>
          <w:szCs w:val="24"/>
        </w:rPr>
        <w:t xml:space="preserve">симации интеграла поглощения приводит к 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мкости поглощения ртути суглинком 0.13 мг/г. Это значение на порядки превыщает предельную адсорбционную 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</w:t>
      </w:r>
      <w:r w:rsidRPr="008D4C00">
        <w:rPr>
          <w:rFonts w:ascii="Arial" w:hAnsi="Arial" w:cs="Arial"/>
          <w:sz w:val="24"/>
          <w:szCs w:val="24"/>
        </w:rPr>
        <w:t xml:space="preserve">кость.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EA3FD1" w:rsidRDefault="0014266D" w:rsidP="008D4C00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EA3FD1">
        <w:rPr>
          <w:rFonts w:ascii="Arial" w:hAnsi="Arial" w:cs="Arial"/>
          <w:b/>
          <w:sz w:val="24"/>
          <w:szCs w:val="24"/>
        </w:rPr>
        <w:t xml:space="preserve">Результаты экспериментов по диффузионной миграции паров ртути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Диффузионная миграция паров из жидкой ртути исследовалась на колонках из су</w:t>
      </w:r>
      <w:r w:rsidRPr="008D4C00">
        <w:rPr>
          <w:rFonts w:ascii="Arial" w:hAnsi="Arial" w:cs="Arial"/>
          <w:sz w:val="24"/>
          <w:szCs w:val="24"/>
        </w:rPr>
        <w:t>г</w:t>
      </w:r>
      <w:r w:rsidRPr="008D4C00">
        <w:rPr>
          <w:rFonts w:ascii="Arial" w:hAnsi="Arial" w:cs="Arial"/>
          <w:sz w:val="24"/>
          <w:szCs w:val="24"/>
        </w:rPr>
        <w:t>линков и песков при варьировании граничными условиями. Эти эксперименты важны как для расч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та темпов эмиссии ртути из рыхлых отложений основания цеха электр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лиза, так и для расч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тов эффективности иммобилизации паров ртути при создании п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рекрывающего чехла – экрана. Для нас эти результаты были также ключевыми при расч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тах потока природной газовой эмиссии и при сравнении экспериментальных р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зультатов по содержаниям ртути в поровом объ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ме пород разрезов и найденных мет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дом прокачки через ртутный сорбент воздуха каптированных скважин. Эмиссия паров ртути происходила через суглинок с исходной фоновой концентрацией ртути 0.024 г/т из помещ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нного в основание образца такого же суглинка, но отобранного из-под цеха ртутного электролиза “Усольехимпром” с содержанием ртути 780 г/т и видимыми ка</w:t>
      </w:r>
      <w:r w:rsidRPr="008D4C00">
        <w:rPr>
          <w:rFonts w:ascii="Arial" w:hAnsi="Arial" w:cs="Arial"/>
          <w:sz w:val="24"/>
          <w:szCs w:val="24"/>
        </w:rPr>
        <w:t>п</w:t>
      </w:r>
      <w:r w:rsidRPr="008D4C00">
        <w:rPr>
          <w:rFonts w:ascii="Arial" w:hAnsi="Arial" w:cs="Arial"/>
          <w:sz w:val="24"/>
          <w:szCs w:val="24"/>
        </w:rPr>
        <w:t xml:space="preserve">лями ртути. </w:t>
      </w:r>
    </w:p>
    <w:p w:rsidR="0014266D" w:rsidRPr="008D4C00" w:rsidRDefault="0014266D" w:rsidP="00EA3FD1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3D2523">
        <w:rPr>
          <w:rFonts w:ascii="Arial" w:hAnsi="Arial" w:cs="Arial"/>
          <w:sz w:val="24"/>
          <w:szCs w:val="24"/>
        </w:rPr>
        <w:pict>
          <v:shape id="_x0000_i1027" type="#_x0000_t75" style="width:355.2pt;height:203.4pt">
            <v:imagedata r:id="rId6" o:title="" croptop="1197f" cropbottom="5829f" cropleft="5010f" cropright="530f" gain="69719f" blacklevel="-3932f"/>
          </v:shape>
        </w:pict>
      </w:r>
    </w:p>
    <w:p w:rsidR="0014266D" w:rsidRPr="00EA3FD1" w:rsidRDefault="0014266D" w:rsidP="00EA3FD1">
      <w:pPr>
        <w:spacing w:after="0"/>
        <w:ind w:left="1620" w:right="1463" w:firstLine="454"/>
        <w:jc w:val="both"/>
        <w:rPr>
          <w:rFonts w:ascii="Arial" w:hAnsi="Arial" w:cs="Arial"/>
          <w:i/>
          <w:sz w:val="20"/>
          <w:szCs w:val="20"/>
        </w:rPr>
      </w:pPr>
      <w:r w:rsidRPr="00EA3FD1">
        <w:rPr>
          <w:rFonts w:ascii="Arial" w:hAnsi="Arial" w:cs="Arial"/>
          <w:i/>
          <w:sz w:val="20"/>
          <w:szCs w:val="20"/>
        </w:rPr>
        <w:t xml:space="preserve">Рис.3. Диффузионные профили концентрации ртути в суглинках </w:t>
      </w:r>
    </w:p>
    <w:p w:rsidR="0014266D" w:rsidRPr="00EA3FD1" w:rsidRDefault="0014266D" w:rsidP="00EA3FD1">
      <w:pPr>
        <w:spacing w:after="0"/>
        <w:ind w:left="1620" w:right="1463" w:firstLine="454"/>
        <w:jc w:val="both"/>
        <w:rPr>
          <w:rFonts w:ascii="Arial" w:hAnsi="Arial" w:cs="Arial"/>
          <w:i/>
          <w:sz w:val="20"/>
          <w:szCs w:val="20"/>
        </w:rPr>
      </w:pPr>
      <w:r w:rsidRPr="00EA3FD1">
        <w:rPr>
          <w:rFonts w:ascii="Arial" w:hAnsi="Arial" w:cs="Arial"/>
          <w:i/>
          <w:sz w:val="20"/>
          <w:szCs w:val="20"/>
        </w:rPr>
        <w:t xml:space="preserve">Колонка 1 – открыта на атмосферу. Колонки 2,3 – изолированы. В кол. 3 суглинок перекрыт цеолитом для задания другого давления паров ртути как граничного условия.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 xml:space="preserve">Исследовались системы: “открытая” </w:t>
      </w:r>
      <w:r>
        <w:rPr>
          <w:rFonts w:ascii="Arial" w:hAnsi="Arial" w:cs="Arial"/>
          <w:sz w:val="24"/>
          <w:szCs w:val="24"/>
        </w:rPr>
        <w:t>(</w:t>
      </w:r>
      <w:r w:rsidRPr="008D4C00">
        <w:rPr>
          <w:rFonts w:ascii="Arial" w:hAnsi="Arial" w:cs="Arial"/>
          <w:sz w:val="24"/>
          <w:szCs w:val="24"/>
        </w:rPr>
        <w:t>для уч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та перепадов атмосферного давл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ния и возможного вклада конвективного переноса паров ртути с потоком порового во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>духа при изменении атмосферного давления</w:t>
      </w:r>
      <w:r>
        <w:rPr>
          <w:rFonts w:ascii="Arial" w:hAnsi="Arial" w:cs="Arial"/>
          <w:sz w:val="24"/>
          <w:szCs w:val="24"/>
        </w:rPr>
        <w:t>)</w:t>
      </w:r>
      <w:r w:rsidRPr="008D4C00">
        <w:rPr>
          <w:rFonts w:ascii="Arial" w:hAnsi="Arial" w:cs="Arial"/>
          <w:sz w:val="24"/>
          <w:szCs w:val="24"/>
        </w:rPr>
        <w:t xml:space="preserve"> и “закрытая” </w:t>
      </w:r>
      <w:r>
        <w:rPr>
          <w:rFonts w:ascii="Arial" w:hAnsi="Arial" w:cs="Arial"/>
          <w:sz w:val="24"/>
          <w:szCs w:val="24"/>
        </w:rPr>
        <w:t>(</w:t>
      </w:r>
      <w:r w:rsidRPr="008D4C00">
        <w:rPr>
          <w:rFonts w:ascii="Arial" w:hAnsi="Arial" w:cs="Arial"/>
          <w:sz w:val="24"/>
          <w:szCs w:val="24"/>
        </w:rPr>
        <w:t>изолированная от атм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сферы</w:t>
      </w:r>
      <w:r>
        <w:rPr>
          <w:rFonts w:ascii="Arial" w:hAnsi="Arial" w:cs="Arial"/>
          <w:sz w:val="24"/>
          <w:szCs w:val="24"/>
        </w:rPr>
        <w:t>)</w:t>
      </w:r>
      <w:r w:rsidRPr="008D4C00">
        <w:rPr>
          <w:rFonts w:ascii="Arial" w:hAnsi="Arial" w:cs="Arial"/>
          <w:sz w:val="24"/>
          <w:szCs w:val="24"/>
        </w:rPr>
        <w:t>. В одном из вариантов для “закрытой” системы для задания другого давления паров ртути</w:t>
      </w:r>
      <w:r>
        <w:rPr>
          <w:rFonts w:ascii="Arial" w:hAnsi="Arial" w:cs="Arial"/>
          <w:sz w:val="24"/>
          <w:szCs w:val="24"/>
        </w:rPr>
        <w:t>,</w:t>
      </w:r>
      <w:r w:rsidRPr="008D4C00">
        <w:rPr>
          <w:rFonts w:ascii="Arial" w:hAnsi="Arial" w:cs="Arial"/>
          <w:sz w:val="24"/>
          <w:szCs w:val="24"/>
        </w:rPr>
        <w:t xml:space="preserve"> как граничного условия, использовался предварительно прокаленный цеолит (клиноптилолит К</w:t>
      </w:r>
      <w:r w:rsidRPr="00EA3FD1">
        <w:rPr>
          <w:rFonts w:ascii="Arial" w:hAnsi="Arial" w:cs="Arial"/>
          <w:sz w:val="24"/>
          <w:szCs w:val="24"/>
          <w:vertAlign w:val="subscript"/>
        </w:rPr>
        <w:t>2</w:t>
      </w:r>
      <w:r w:rsidRPr="008D4C00">
        <w:rPr>
          <w:rFonts w:ascii="Arial" w:hAnsi="Arial" w:cs="Arial"/>
          <w:sz w:val="24"/>
          <w:szCs w:val="24"/>
        </w:rPr>
        <w:t>Na</w:t>
      </w:r>
      <w:r w:rsidRPr="00EA3FD1">
        <w:rPr>
          <w:rFonts w:ascii="Arial" w:hAnsi="Arial" w:cs="Arial"/>
          <w:sz w:val="24"/>
          <w:szCs w:val="24"/>
          <w:vertAlign w:val="subscript"/>
        </w:rPr>
        <w:t>2</w:t>
      </w:r>
      <w:r w:rsidRPr="008D4C00">
        <w:rPr>
          <w:rFonts w:ascii="Arial" w:hAnsi="Arial" w:cs="Arial"/>
          <w:sz w:val="24"/>
          <w:szCs w:val="24"/>
        </w:rPr>
        <w:t>Ca(Al</w:t>
      </w:r>
      <w:r w:rsidRPr="00EA3FD1">
        <w:rPr>
          <w:rFonts w:ascii="Arial" w:hAnsi="Arial" w:cs="Arial"/>
          <w:sz w:val="24"/>
          <w:szCs w:val="24"/>
          <w:vertAlign w:val="subscript"/>
        </w:rPr>
        <w:t>6</w:t>
      </w:r>
      <w:r w:rsidRPr="008D4C00">
        <w:rPr>
          <w:rFonts w:ascii="Arial" w:hAnsi="Arial" w:cs="Arial"/>
          <w:sz w:val="24"/>
          <w:szCs w:val="24"/>
        </w:rPr>
        <w:t>Si</w:t>
      </w:r>
      <w:r w:rsidRPr="00EA3FD1">
        <w:rPr>
          <w:rFonts w:ascii="Arial" w:hAnsi="Arial" w:cs="Arial"/>
          <w:sz w:val="24"/>
          <w:szCs w:val="24"/>
          <w:vertAlign w:val="subscript"/>
        </w:rPr>
        <w:t>30</w:t>
      </w:r>
      <w:r w:rsidRPr="008D4C00">
        <w:rPr>
          <w:rFonts w:ascii="Arial" w:hAnsi="Arial" w:cs="Arial"/>
          <w:sz w:val="24"/>
          <w:szCs w:val="24"/>
        </w:rPr>
        <w:t>O</w:t>
      </w:r>
      <w:r w:rsidRPr="00EA3FD1">
        <w:rPr>
          <w:rFonts w:ascii="Arial" w:hAnsi="Arial" w:cs="Arial"/>
          <w:sz w:val="24"/>
          <w:szCs w:val="24"/>
          <w:vertAlign w:val="subscript"/>
        </w:rPr>
        <w:t>72</w:t>
      </w:r>
      <w:r w:rsidRPr="008D4C00">
        <w:rPr>
          <w:rFonts w:ascii="Arial" w:hAnsi="Arial" w:cs="Arial"/>
          <w:sz w:val="24"/>
          <w:szCs w:val="24"/>
        </w:rPr>
        <w:t>)</w:t>
      </w:r>
      <w:r w:rsidRPr="00EA3FD1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21H</w:t>
      </w:r>
      <w:r w:rsidRPr="00EA3FD1">
        <w:rPr>
          <w:rFonts w:ascii="Arial" w:hAnsi="Arial" w:cs="Arial"/>
          <w:sz w:val="24"/>
          <w:szCs w:val="24"/>
          <w:vertAlign w:val="subscript"/>
        </w:rPr>
        <w:t>2</w:t>
      </w:r>
      <w:r w:rsidRPr="008D4C00">
        <w:rPr>
          <w:rFonts w:ascii="Arial" w:hAnsi="Arial" w:cs="Arial"/>
          <w:sz w:val="24"/>
          <w:szCs w:val="24"/>
        </w:rPr>
        <w:t>O). По окончании опыта образцы послойно проанализированы на содержание ртути. Получены концентрационные профили ди</w:t>
      </w:r>
      <w:r w:rsidRPr="008D4C00">
        <w:rPr>
          <w:rFonts w:ascii="Arial" w:hAnsi="Arial" w:cs="Arial"/>
          <w:sz w:val="24"/>
          <w:szCs w:val="24"/>
        </w:rPr>
        <w:t>ф</w:t>
      </w:r>
      <w:r w:rsidRPr="008D4C00">
        <w:rPr>
          <w:rFonts w:ascii="Arial" w:hAnsi="Arial" w:cs="Arial"/>
          <w:sz w:val="24"/>
          <w:szCs w:val="24"/>
        </w:rPr>
        <w:t>фузионной миграции ртути и е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 адсорбционной фиксации в отдельных зонах колонок (рис. 3).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Во всех тр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х случаях сформировался близкий к линейному (слабо асимптотич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ский) диффузионный профиль, зависящий, но не принципиально, от граничных усл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вий и локальных вариаций дисперсности. Главная особенность – несмотря на то, что ко</w:t>
      </w:r>
      <w:r w:rsidRPr="008D4C00">
        <w:rPr>
          <w:rFonts w:ascii="Arial" w:hAnsi="Arial" w:cs="Arial"/>
          <w:sz w:val="24"/>
          <w:szCs w:val="24"/>
        </w:rPr>
        <w:t>н</w:t>
      </w:r>
      <w:r w:rsidRPr="008D4C00">
        <w:rPr>
          <w:rFonts w:ascii="Arial" w:hAnsi="Arial" w:cs="Arial"/>
          <w:sz w:val="24"/>
          <w:szCs w:val="24"/>
        </w:rPr>
        <w:t>вективный перенос в колонках 2-3 был исключен, т.е. доминировал диффузионный р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жим переноса (это подтверждают и ниже приведенные оценочные расч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ты), во всех случаях между суглинком как средой диффузионного транспорта и загрязн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нным о</w:t>
      </w:r>
      <w:r w:rsidRPr="008D4C00">
        <w:rPr>
          <w:rFonts w:ascii="Arial" w:hAnsi="Arial" w:cs="Arial"/>
          <w:sz w:val="24"/>
          <w:szCs w:val="24"/>
        </w:rPr>
        <w:t>б</w:t>
      </w:r>
      <w:r w:rsidRPr="008D4C00">
        <w:rPr>
          <w:rFonts w:ascii="Arial" w:hAnsi="Arial" w:cs="Arial"/>
          <w:sz w:val="24"/>
          <w:szCs w:val="24"/>
        </w:rPr>
        <w:t>разцом в основании колонок сохранился резкий концентрационный скачок (на контакте двух образцов – 780 ppm и 38.6 – 43.4 ppm.). Такой профиль возможен лишь при по</w:t>
      </w:r>
      <w:r w:rsidRPr="008D4C00">
        <w:rPr>
          <w:rFonts w:ascii="Arial" w:hAnsi="Arial" w:cs="Arial"/>
          <w:sz w:val="24"/>
          <w:szCs w:val="24"/>
        </w:rPr>
        <w:t>л</w:t>
      </w:r>
      <w:r w:rsidRPr="008D4C00">
        <w:rPr>
          <w:rFonts w:ascii="Arial" w:hAnsi="Arial" w:cs="Arial"/>
          <w:sz w:val="24"/>
          <w:szCs w:val="24"/>
        </w:rPr>
        <w:t>ном адсорбционном насыщении основания колонок исходно чистых су</w:t>
      </w:r>
      <w:r w:rsidRPr="008D4C00">
        <w:rPr>
          <w:rFonts w:ascii="Arial" w:hAnsi="Arial" w:cs="Arial"/>
          <w:sz w:val="24"/>
          <w:szCs w:val="24"/>
        </w:rPr>
        <w:t>г</w:t>
      </w:r>
      <w:r w:rsidRPr="008D4C00">
        <w:rPr>
          <w:rFonts w:ascii="Arial" w:hAnsi="Arial" w:cs="Arial"/>
          <w:sz w:val="24"/>
          <w:szCs w:val="24"/>
        </w:rPr>
        <w:t>линков парами ртути на контакте с образцом, содержащим избыток е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 капельно-жи</w:t>
      </w:r>
      <w:r w:rsidRPr="008D4C00">
        <w:rPr>
          <w:rFonts w:ascii="Arial" w:hAnsi="Arial" w:cs="Arial"/>
          <w:sz w:val="24"/>
          <w:szCs w:val="24"/>
        </w:rPr>
        <w:t>д</w:t>
      </w:r>
      <w:r w:rsidRPr="008D4C00">
        <w:rPr>
          <w:rFonts w:ascii="Arial" w:hAnsi="Arial" w:cs="Arial"/>
          <w:sz w:val="24"/>
          <w:szCs w:val="24"/>
        </w:rPr>
        <w:t>кой формы, т.е. при достижении адсорбционного равновесия с насыщенными парами ртути. Для кажд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го образца после послойного анализа (18 проб, 18 см) несложно составить материал</w:t>
      </w:r>
      <w:r w:rsidRPr="008D4C00">
        <w:rPr>
          <w:rFonts w:ascii="Arial" w:hAnsi="Arial" w:cs="Arial"/>
          <w:sz w:val="24"/>
          <w:szCs w:val="24"/>
        </w:rPr>
        <w:t>ь</w:t>
      </w:r>
      <w:r w:rsidRPr="008D4C00">
        <w:rPr>
          <w:rFonts w:ascii="Arial" w:hAnsi="Arial" w:cs="Arial"/>
          <w:sz w:val="24"/>
          <w:szCs w:val="24"/>
        </w:rPr>
        <w:t>ные балансы, прич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 для “закрытых” систем эти балансы эмиссии (из загрязн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нного образца) – полные. Во всех тр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х случаях суммарные эмиссии из загрязн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нных обра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 xml:space="preserve">цов сопоставимы, т.е. за 100 дней: </w:t>
      </w:r>
    </w:p>
    <w:p w:rsidR="0014266D" w:rsidRPr="008D4C00" w:rsidRDefault="0014266D" w:rsidP="00EA3FD1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Σ эмиссия = C</w:t>
      </w:r>
      <w:r w:rsidRPr="00EA3FD1">
        <w:rPr>
          <w:rFonts w:ascii="Arial" w:hAnsi="Arial" w:cs="Arial"/>
          <w:sz w:val="24"/>
          <w:szCs w:val="24"/>
          <w:vertAlign w:val="subscript"/>
        </w:rPr>
        <w:t>ср</w:t>
      </w:r>
      <w:r w:rsidRPr="008D4C00">
        <w:rPr>
          <w:rFonts w:ascii="Arial" w:hAnsi="Arial" w:cs="Arial"/>
          <w:sz w:val="24"/>
          <w:szCs w:val="24"/>
        </w:rPr>
        <w:t xml:space="preserve"> </w:t>
      </w:r>
      <w:r w:rsidRPr="00EA3FD1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 xml:space="preserve"> m</w:t>
      </w:r>
      <w:r w:rsidRPr="00EA3FD1">
        <w:rPr>
          <w:rFonts w:ascii="Arial" w:hAnsi="Arial" w:cs="Arial"/>
          <w:sz w:val="24"/>
          <w:szCs w:val="24"/>
          <w:vertAlign w:val="subscript"/>
        </w:rPr>
        <w:t>глины</w:t>
      </w:r>
      <w:r w:rsidRPr="008D4C00">
        <w:rPr>
          <w:rFonts w:ascii="Arial" w:hAnsi="Arial" w:cs="Arial"/>
          <w:sz w:val="24"/>
          <w:szCs w:val="24"/>
        </w:rPr>
        <w:t xml:space="preserve"> = ½ C</w:t>
      </w:r>
      <w:r w:rsidRPr="00EA3FD1">
        <w:rPr>
          <w:rFonts w:ascii="Arial" w:hAnsi="Arial" w:cs="Arial"/>
          <w:sz w:val="24"/>
          <w:szCs w:val="24"/>
          <w:vertAlign w:val="subscript"/>
        </w:rPr>
        <w:t>макс</w:t>
      </w:r>
      <w:r w:rsidRPr="008D4C00">
        <w:rPr>
          <w:rFonts w:ascii="Arial" w:hAnsi="Arial" w:cs="Arial"/>
          <w:sz w:val="24"/>
          <w:szCs w:val="24"/>
        </w:rPr>
        <w:t xml:space="preserve"> </w:t>
      </w:r>
      <w:r w:rsidRPr="00EA3FD1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 xml:space="preserve"> m</w:t>
      </w:r>
      <w:r w:rsidRPr="00EA3FD1">
        <w:rPr>
          <w:rFonts w:ascii="Arial" w:hAnsi="Arial" w:cs="Arial"/>
          <w:sz w:val="24"/>
          <w:szCs w:val="24"/>
          <w:vertAlign w:val="subscript"/>
        </w:rPr>
        <w:t>глины</w:t>
      </w:r>
      <w:r w:rsidRPr="008D4C00">
        <w:rPr>
          <w:rFonts w:ascii="Arial" w:hAnsi="Arial" w:cs="Arial"/>
          <w:sz w:val="24"/>
          <w:szCs w:val="24"/>
        </w:rPr>
        <w:t xml:space="preserve"> = 20</w:t>
      </w:r>
      <w:r w:rsidRPr="00EA3FD1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EA3FD1">
        <w:rPr>
          <w:rFonts w:ascii="Arial" w:hAnsi="Arial" w:cs="Arial"/>
          <w:sz w:val="24"/>
          <w:szCs w:val="24"/>
          <w:vertAlign w:val="superscript"/>
        </w:rPr>
        <w:t>-3</w:t>
      </w:r>
      <w:r w:rsidRPr="008D4C00">
        <w:rPr>
          <w:rFonts w:ascii="Arial" w:hAnsi="Arial" w:cs="Arial"/>
          <w:sz w:val="24"/>
          <w:szCs w:val="24"/>
        </w:rPr>
        <w:t xml:space="preserve">мг/г </w:t>
      </w:r>
      <w:r w:rsidRPr="00EA3FD1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 xml:space="preserve"> 150 г = 3 мг ртути.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 xml:space="preserve">Если аппроксимировать диффузионные профили линейными зависимостями, то несложно рассчитать плотность молярного потока ртути </w:t>
      </w:r>
      <w:r w:rsidRPr="00EA3FD1">
        <w:rPr>
          <w:rFonts w:ascii="Arial" w:hAnsi="Arial" w:cs="Arial"/>
          <w:b/>
          <w:i/>
          <w:sz w:val="24"/>
          <w:szCs w:val="24"/>
        </w:rPr>
        <w:t>J</w:t>
      </w:r>
      <w:r w:rsidRPr="008D4C00">
        <w:rPr>
          <w:rFonts w:ascii="Arial" w:hAnsi="Arial" w:cs="Arial"/>
          <w:sz w:val="24"/>
          <w:szCs w:val="24"/>
        </w:rPr>
        <w:t xml:space="preserve"> (с уч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том атомной массы), равную 2</w:t>
      </w:r>
      <w:r w:rsidRPr="00EA3FD1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EA3FD1">
        <w:rPr>
          <w:rFonts w:ascii="Arial" w:hAnsi="Arial" w:cs="Arial"/>
          <w:sz w:val="24"/>
          <w:szCs w:val="24"/>
          <w:vertAlign w:val="superscript"/>
        </w:rPr>
        <w:t>–8</w:t>
      </w:r>
      <w:r w:rsidRPr="008D4C00">
        <w:rPr>
          <w:rFonts w:ascii="Arial" w:hAnsi="Arial" w:cs="Arial"/>
          <w:sz w:val="24"/>
          <w:szCs w:val="24"/>
        </w:rPr>
        <w:t xml:space="preserve"> моль/см</w:t>
      </w:r>
      <w:r w:rsidRPr="00EA3FD1">
        <w:rPr>
          <w:rFonts w:ascii="Arial" w:hAnsi="Arial" w:cs="Arial"/>
          <w:sz w:val="24"/>
          <w:szCs w:val="24"/>
          <w:vertAlign w:val="superscript"/>
        </w:rPr>
        <w:t>2</w:t>
      </w:r>
      <w:r w:rsidRPr="008D4C00">
        <w:rPr>
          <w:rFonts w:ascii="Arial" w:hAnsi="Arial" w:cs="Arial"/>
          <w:sz w:val="24"/>
          <w:szCs w:val="24"/>
        </w:rPr>
        <w:t xml:space="preserve"> день. Используя соотношения J = D</w:t>
      </w:r>
      <w:r w:rsidRPr="00EA3FD1">
        <w:rPr>
          <w:rFonts w:ascii="Arial" w:hAnsi="Arial" w:cs="Arial"/>
          <w:sz w:val="24"/>
          <w:szCs w:val="24"/>
          <w:vertAlign w:val="subscript"/>
        </w:rPr>
        <w:t>эф*</w:t>
      </w:r>
      <w:r w:rsidRPr="008D4C00">
        <w:rPr>
          <w:rFonts w:ascii="Arial" w:hAnsi="Arial" w:cs="Arial"/>
          <w:sz w:val="24"/>
          <w:szCs w:val="24"/>
        </w:rPr>
        <w:t>gradC</w:t>
      </w:r>
      <w:r w:rsidRPr="00EA3FD1">
        <w:rPr>
          <w:rFonts w:ascii="Arial" w:hAnsi="Arial" w:cs="Arial"/>
          <w:sz w:val="24"/>
          <w:szCs w:val="24"/>
          <w:vertAlign w:val="subscript"/>
        </w:rPr>
        <w:t>Hg</w:t>
      </w:r>
      <w:r w:rsidRPr="008D4C00">
        <w:rPr>
          <w:rFonts w:ascii="Arial" w:hAnsi="Arial" w:cs="Arial"/>
          <w:sz w:val="24"/>
          <w:szCs w:val="24"/>
        </w:rPr>
        <w:t>, где gradC</w:t>
      </w:r>
      <w:r w:rsidRPr="00EA3FD1">
        <w:rPr>
          <w:rFonts w:ascii="Arial" w:hAnsi="Arial" w:cs="Arial"/>
          <w:sz w:val="24"/>
          <w:szCs w:val="24"/>
          <w:vertAlign w:val="subscript"/>
        </w:rPr>
        <w:t>Hg</w:t>
      </w:r>
      <w:r w:rsidRPr="008D4C00">
        <w:rPr>
          <w:rFonts w:ascii="Arial" w:hAnsi="Arial" w:cs="Arial"/>
          <w:sz w:val="24"/>
          <w:szCs w:val="24"/>
        </w:rPr>
        <w:t xml:space="preserve"> = ΔC/l = ΔC/(ξ*h) (где l – длина пути с уч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том фактора извилистости ξ при высоте колонки h), приходим к значению </w:t>
      </w:r>
      <w:r w:rsidRPr="00EA3FD1">
        <w:rPr>
          <w:rFonts w:ascii="Arial" w:hAnsi="Arial" w:cs="Arial"/>
          <w:color w:val="0000FF"/>
          <w:sz w:val="24"/>
          <w:szCs w:val="24"/>
        </w:rPr>
        <w:t>D</w:t>
      </w:r>
      <w:r w:rsidRPr="00EA3FD1">
        <w:rPr>
          <w:rFonts w:ascii="Arial" w:hAnsi="Arial" w:cs="Arial"/>
          <w:color w:val="0000FF"/>
          <w:sz w:val="24"/>
          <w:szCs w:val="24"/>
          <w:vertAlign w:val="subscript"/>
        </w:rPr>
        <w:t>эф</w:t>
      </w:r>
      <w:r w:rsidRPr="00EA3FD1">
        <w:rPr>
          <w:rFonts w:ascii="Arial" w:hAnsi="Arial" w:cs="Arial"/>
          <w:color w:val="0000FF"/>
          <w:sz w:val="24"/>
          <w:szCs w:val="24"/>
        </w:rPr>
        <w:t xml:space="preserve"> ~1см</w:t>
      </w:r>
      <w:r w:rsidRPr="00EA3FD1">
        <w:rPr>
          <w:rFonts w:ascii="Arial" w:hAnsi="Arial" w:cs="Arial"/>
          <w:color w:val="0000FF"/>
          <w:sz w:val="24"/>
          <w:szCs w:val="24"/>
          <w:vertAlign w:val="superscript"/>
        </w:rPr>
        <w:t>2</w:t>
      </w:r>
      <w:r w:rsidRPr="00EA3FD1">
        <w:rPr>
          <w:rFonts w:ascii="Arial" w:hAnsi="Arial" w:cs="Arial"/>
          <w:color w:val="0000FF"/>
          <w:sz w:val="24"/>
          <w:szCs w:val="24"/>
        </w:rPr>
        <w:t>/сут</w:t>
      </w:r>
      <w:r w:rsidRPr="008D4C00">
        <w:rPr>
          <w:rFonts w:ascii="Arial" w:hAnsi="Arial" w:cs="Arial"/>
          <w:sz w:val="24"/>
          <w:szCs w:val="24"/>
        </w:rPr>
        <w:t xml:space="preserve"> или </w:t>
      </w:r>
      <w:r w:rsidRPr="00EA3FD1">
        <w:rPr>
          <w:rFonts w:ascii="Arial" w:hAnsi="Arial" w:cs="Arial"/>
          <w:color w:val="0000FF"/>
          <w:sz w:val="24"/>
          <w:szCs w:val="24"/>
        </w:rPr>
        <w:t>1.16</w:t>
      </w:r>
      <w:r w:rsidRPr="00EA3FD1">
        <w:rPr>
          <w:rFonts w:ascii="Arial" w:hAnsi="Arial" w:cs="Arial"/>
          <w:color w:val="0000FF"/>
          <w:sz w:val="24"/>
          <w:szCs w:val="24"/>
          <w:vertAlign w:val="subscript"/>
        </w:rPr>
        <w:t>*</w:t>
      </w:r>
      <w:r w:rsidRPr="00EA3FD1">
        <w:rPr>
          <w:rFonts w:ascii="Arial" w:hAnsi="Arial" w:cs="Arial"/>
          <w:color w:val="0000FF"/>
          <w:sz w:val="24"/>
          <w:szCs w:val="24"/>
        </w:rPr>
        <w:t>10</w:t>
      </w:r>
      <w:r w:rsidRPr="00EA3FD1">
        <w:rPr>
          <w:rFonts w:ascii="Arial" w:hAnsi="Arial" w:cs="Arial"/>
          <w:color w:val="0000FF"/>
          <w:sz w:val="24"/>
          <w:szCs w:val="24"/>
          <w:vertAlign w:val="superscript"/>
        </w:rPr>
        <w:t>-5</w:t>
      </w:r>
      <w:r w:rsidRPr="00EA3FD1">
        <w:rPr>
          <w:rFonts w:ascii="Arial" w:hAnsi="Arial" w:cs="Arial"/>
          <w:color w:val="0000FF"/>
          <w:sz w:val="24"/>
          <w:szCs w:val="24"/>
        </w:rPr>
        <w:t xml:space="preserve"> см</w:t>
      </w:r>
      <w:r w:rsidRPr="00EA3FD1">
        <w:rPr>
          <w:rFonts w:ascii="Arial" w:hAnsi="Arial" w:cs="Arial"/>
          <w:color w:val="0000FF"/>
          <w:sz w:val="24"/>
          <w:szCs w:val="24"/>
          <w:vertAlign w:val="superscript"/>
        </w:rPr>
        <w:t>2</w:t>
      </w:r>
      <w:r w:rsidRPr="00EA3FD1">
        <w:rPr>
          <w:rFonts w:ascii="Arial" w:hAnsi="Arial" w:cs="Arial"/>
          <w:color w:val="0000FF"/>
          <w:sz w:val="24"/>
          <w:szCs w:val="24"/>
        </w:rPr>
        <w:t>/сек</w:t>
      </w:r>
      <w:r w:rsidRPr="008D4C00">
        <w:rPr>
          <w:rFonts w:ascii="Arial" w:hAnsi="Arial" w:cs="Arial"/>
          <w:sz w:val="24"/>
          <w:szCs w:val="24"/>
        </w:rPr>
        <w:t>, что позволяет утве</w:t>
      </w:r>
      <w:r w:rsidRPr="008D4C00">
        <w:rPr>
          <w:rFonts w:ascii="Arial" w:hAnsi="Arial" w:cs="Arial"/>
          <w:sz w:val="24"/>
          <w:szCs w:val="24"/>
        </w:rPr>
        <w:t>р</w:t>
      </w:r>
      <w:r w:rsidRPr="008D4C00">
        <w:rPr>
          <w:rFonts w:ascii="Arial" w:hAnsi="Arial" w:cs="Arial"/>
          <w:sz w:val="24"/>
          <w:szCs w:val="24"/>
        </w:rPr>
        <w:t>ждать, что процесс адсорбции и миграции ртути в случае образцов естественной вла</w:t>
      </w:r>
      <w:r w:rsidRPr="008D4C00">
        <w:rPr>
          <w:rFonts w:ascii="Arial" w:hAnsi="Arial" w:cs="Arial"/>
          <w:sz w:val="24"/>
          <w:szCs w:val="24"/>
        </w:rPr>
        <w:t>ж</w:t>
      </w:r>
      <w:r w:rsidRPr="008D4C00">
        <w:rPr>
          <w:rFonts w:ascii="Arial" w:hAnsi="Arial" w:cs="Arial"/>
          <w:sz w:val="24"/>
          <w:szCs w:val="24"/>
        </w:rPr>
        <w:t>ности лимитирован не газовой диффузией, а наиболее медленным процессом диффузии ч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рез пл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нку жидкой фазы на поверхности тв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рдой. Предел насыщения (во всех коло</w:t>
      </w:r>
      <w:r w:rsidRPr="008D4C00">
        <w:rPr>
          <w:rFonts w:ascii="Arial" w:hAnsi="Arial" w:cs="Arial"/>
          <w:sz w:val="24"/>
          <w:szCs w:val="24"/>
        </w:rPr>
        <w:t>н</w:t>
      </w:r>
      <w:r w:rsidRPr="008D4C00">
        <w:rPr>
          <w:rFonts w:ascii="Arial" w:hAnsi="Arial" w:cs="Arial"/>
          <w:sz w:val="24"/>
          <w:szCs w:val="24"/>
        </w:rPr>
        <w:t xml:space="preserve">ках около 40 ppm) и наличие резкого концентрационного скачка в основании колонок, скорее всего, связаны с тем, что это максимальная 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мкость поглощения при равнов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сии с насыщенными парами нульвалентной ртути при неизбежном появлении других валентных форм в результате окисления на влажной минеральной поверхности и ча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тичном поглощении этих форм ртути пл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нками жидкой фазы.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Устойчивость значения концентрации ртути в основании колонок открыла интере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ные перспективы для оценки потока эмиссии ртути из литосферы сравнением значений кларков ртути в различных типах пород и экспериментальных данных по их адсорбц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 xml:space="preserve">онной 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мкости в о</w:t>
      </w:r>
      <w:r w:rsidRPr="008D4C00">
        <w:rPr>
          <w:rFonts w:ascii="Arial" w:hAnsi="Arial" w:cs="Arial"/>
          <w:sz w:val="24"/>
          <w:szCs w:val="24"/>
        </w:rPr>
        <w:t>т</w:t>
      </w:r>
      <w:r w:rsidRPr="008D4C00">
        <w:rPr>
          <w:rFonts w:ascii="Arial" w:hAnsi="Arial" w:cs="Arial"/>
          <w:sz w:val="24"/>
          <w:szCs w:val="24"/>
        </w:rPr>
        <w:t>ношении насыщенных паров элементарной ртути. Поэтому для дальнейших подобных экспериментов были выбраны пески различной степени ож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лезн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нности (содержание “свободного” железа в аутигенных пл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нках гидроокислов ж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леза составляло 0.2, 0.5 и 0.83 масс.%) и влажности и вышеописанные суглинки ра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>личной влажности. Поскольку из первых р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зультатов стало очевидно, что граничные условия значительно не влияют на характер протекающих процессов в колонке, то во второй серии все исследуемые си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темы были “закрытыми”, чтобы избежать конвекции паров ртути при меньшей (6 см) длине кол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 xml:space="preserve">нок. </w:t>
      </w:r>
    </w:p>
    <w:p w:rsidR="0014266D" w:rsidRPr="008D4C00" w:rsidRDefault="0014266D" w:rsidP="009F1D1A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3D2523">
        <w:rPr>
          <w:rFonts w:ascii="Arial" w:hAnsi="Arial" w:cs="Arial"/>
          <w:sz w:val="24"/>
          <w:szCs w:val="24"/>
        </w:rPr>
        <w:pict>
          <v:shape id="_x0000_i1028" type="#_x0000_t75" style="width:379.2pt;height:232.8pt">
            <v:imagedata r:id="rId7" o:title="" croptop="7382f" cropbottom="5807f" cropleft="535f" cropright="1550f" gain="69719f" blacklevel="-3932f"/>
          </v:shape>
        </w:pict>
      </w:r>
    </w:p>
    <w:p w:rsidR="0014266D" w:rsidRPr="009F1D1A" w:rsidRDefault="0014266D" w:rsidP="009F1D1A">
      <w:pPr>
        <w:spacing w:after="0"/>
        <w:ind w:firstLine="454"/>
        <w:jc w:val="center"/>
        <w:rPr>
          <w:rFonts w:ascii="Arial" w:hAnsi="Arial" w:cs="Arial"/>
          <w:i/>
          <w:sz w:val="20"/>
          <w:szCs w:val="20"/>
        </w:rPr>
      </w:pPr>
      <w:r w:rsidRPr="009F1D1A">
        <w:rPr>
          <w:rFonts w:ascii="Arial" w:hAnsi="Arial" w:cs="Arial"/>
          <w:i/>
          <w:sz w:val="20"/>
          <w:szCs w:val="20"/>
        </w:rPr>
        <w:t>Рис.4. Диффузионные профили концентрации ртути в колонках из сухих грунтов.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На рисунках 4, 5 видно, что на всех колонках диффузионные профили развиты в различной степени. Рассчитав коэффициенты эффективной диффузии для каждой системы (по вышеописанному способу и из дифференциальной формы уравнения Ф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ка для отдельных локальных сечений на известный момент времени), мы получили, е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тественно, различные значения для различных грунтов, но все они в случае сухих о</w:t>
      </w:r>
      <w:r w:rsidRPr="008D4C00">
        <w:rPr>
          <w:rFonts w:ascii="Arial" w:hAnsi="Arial" w:cs="Arial"/>
          <w:sz w:val="24"/>
          <w:szCs w:val="24"/>
        </w:rPr>
        <w:t>б</w:t>
      </w:r>
      <w:r w:rsidRPr="008D4C00">
        <w:rPr>
          <w:rFonts w:ascii="Arial" w:hAnsi="Arial" w:cs="Arial"/>
          <w:sz w:val="24"/>
          <w:szCs w:val="24"/>
        </w:rPr>
        <w:t>разцов варьируют в пределах значений, характерных для диффузии в газовой фазе (порядка 10</w:t>
      </w:r>
      <w:r w:rsidRPr="009F1D1A">
        <w:rPr>
          <w:rFonts w:ascii="Arial" w:hAnsi="Arial" w:cs="Arial"/>
          <w:sz w:val="24"/>
          <w:szCs w:val="24"/>
          <w:vertAlign w:val="superscript"/>
        </w:rPr>
        <w:t>-1</w:t>
      </w:r>
      <w:r w:rsidRPr="008D4C00">
        <w:rPr>
          <w:rFonts w:ascii="Arial" w:hAnsi="Arial" w:cs="Arial"/>
          <w:sz w:val="24"/>
          <w:szCs w:val="24"/>
        </w:rPr>
        <w:t>см</w:t>
      </w:r>
      <w:r w:rsidRPr="009F1D1A">
        <w:rPr>
          <w:rFonts w:ascii="Arial" w:hAnsi="Arial" w:cs="Arial"/>
          <w:sz w:val="24"/>
          <w:szCs w:val="24"/>
          <w:vertAlign w:val="superscript"/>
        </w:rPr>
        <w:t>2</w:t>
      </w:r>
      <w:r w:rsidRPr="008D4C00">
        <w:rPr>
          <w:rFonts w:ascii="Arial" w:hAnsi="Arial" w:cs="Arial"/>
          <w:sz w:val="24"/>
          <w:szCs w:val="24"/>
        </w:rPr>
        <w:t xml:space="preserve">/с). </w:t>
      </w:r>
    </w:p>
    <w:p w:rsidR="0014266D" w:rsidRPr="008D4C00" w:rsidRDefault="0014266D" w:rsidP="009F1D1A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3D2523">
        <w:rPr>
          <w:rFonts w:ascii="Arial" w:hAnsi="Arial" w:cs="Arial"/>
          <w:sz w:val="24"/>
          <w:szCs w:val="24"/>
        </w:rPr>
        <w:pict>
          <v:shape id="_x0000_i1029" type="#_x0000_t75" style="width:5in;height:246pt">
            <v:imagedata r:id="rId8" o:title="" croptop="1772f" cropbottom="1925f" cropleft="1609f" cropright="2295f" gain="69719f" blacklevel="-3932f"/>
          </v:shape>
        </w:pict>
      </w:r>
    </w:p>
    <w:p w:rsidR="0014266D" w:rsidRPr="009F1D1A" w:rsidRDefault="0014266D" w:rsidP="009F1D1A">
      <w:pPr>
        <w:spacing w:after="0"/>
        <w:ind w:firstLine="454"/>
        <w:jc w:val="center"/>
        <w:rPr>
          <w:rFonts w:ascii="Arial" w:hAnsi="Arial" w:cs="Arial"/>
          <w:i/>
          <w:sz w:val="20"/>
          <w:szCs w:val="20"/>
        </w:rPr>
      </w:pPr>
      <w:r w:rsidRPr="009F1D1A">
        <w:rPr>
          <w:rFonts w:ascii="Arial" w:hAnsi="Arial" w:cs="Arial"/>
          <w:i/>
          <w:sz w:val="20"/>
          <w:szCs w:val="20"/>
        </w:rPr>
        <w:t>Рис.5. Диффузионные профили концентрации ртути в колонках из влажных грунтов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Сравнивая характер профилей, установившихся в суглинках, мы видим, что соде</w:t>
      </w:r>
      <w:r w:rsidRPr="008D4C00">
        <w:rPr>
          <w:rFonts w:ascii="Arial" w:hAnsi="Arial" w:cs="Arial"/>
          <w:sz w:val="24"/>
          <w:szCs w:val="24"/>
        </w:rPr>
        <w:t>р</w:t>
      </w:r>
      <w:r w:rsidRPr="008D4C00">
        <w:rPr>
          <w:rFonts w:ascii="Arial" w:hAnsi="Arial" w:cs="Arial"/>
          <w:sz w:val="24"/>
          <w:szCs w:val="24"/>
        </w:rPr>
        <w:t>жания ртути напрямую зависят от влажности (во влажных суглинках объ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 порового пространства газовой фазы меньше, и следовательно, потоки тоже меньше). Что кас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ется различий в концентрациях ртути в исходных образцах, из которых происходит эмиссия, то здесь (рис.6) тоже вс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 достаточно закономерно – чем меньше количество ртути в образце (источнике), тем менее интенсивен стационарный поток е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 испарения, и, следовательно, в колонке наблюдаются меньшие содержания ртути при меньших темпах е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 эмиссии.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6" type="#_x0000_t75" style="position:absolute;left:0;text-align:left;margin-left:153pt;margin-top:108pt;width:344.2pt;height:229.1pt;z-index:251658240">
            <v:imagedata r:id="rId9" o:title="" gain="69719f" blacklevel="-3932f"/>
            <w10:wrap type="square"/>
          </v:shape>
        </w:pict>
      </w:r>
      <w:r w:rsidRPr="008D4C00">
        <w:rPr>
          <w:rFonts w:ascii="Arial" w:hAnsi="Arial" w:cs="Arial"/>
          <w:sz w:val="24"/>
          <w:szCs w:val="24"/>
        </w:rPr>
        <w:t>Но следует отметить, что концентрации в загрязн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нном образце различались в 5 раз, а полученные концентрации в колонках достаточно близки (35.1 и 28.2 для сухих, и 38.5 и 32.5 г/т для влажных из-за вклада сорбции окисленных форм), что может свид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тельствовать, в первую очередь, о приближении суглинков на границе с загрязн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нным образцом к адсорбционной насыщенности именно по парам элементарной ртути, кот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рые содержались, естественно, и в разбавленном образце. Сравнивая профили, уст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новившиеся в песках, мы видим, что степень п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глощения напрямую з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висит от ож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>лезн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нности – чем более ожелезн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 песок, тем больше п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глощено ртути. Для сл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божелезистых сухих пе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ков поглощение практ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чески отсутствует, а зн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чимое увеличение п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глощения влажным пе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ком связано с сорбцией окисленных форм ртути в пл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нках жидкой фазы на минеральных з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рнах. </w:t>
      </w:r>
    </w:p>
    <w:p w:rsidR="0014266D" w:rsidRDefault="0014266D" w:rsidP="009F1D1A">
      <w:pPr>
        <w:spacing w:after="0" w:line="240" w:lineRule="auto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9F1D1A">
        <w:rPr>
          <w:rFonts w:ascii="Arial" w:hAnsi="Arial" w:cs="Arial"/>
          <w:i/>
          <w:sz w:val="20"/>
          <w:szCs w:val="20"/>
        </w:rPr>
        <w:t>Рис.6. Диффузионные профили концентрации рт</w:t>
      </w:r>
      <w:r w:rsidRPr="009F1D1A">
        <w:rPr>
          <w:rFonts w:ascii="Arial" w:hAnsi="Arial" w:cs="Arial"/>
          <w:i/>
          <w:sz w:val="20"/>
          <w:szCs w:val="20"/>
        </w:rPr>
        <w:t>у</w:t>
      </w:r>
      <w:r w:rsidRPr="009F1D1A">
        <w:rPr>
          <w:rFonts w:ascii="Arial" w:hAnsi="Arial" w:cs="Arial"/>
          <w:i/>
          <w:sz w:val="20"/>
          <w:szCs w:val="20"/>
        </w:rPr>
        <w:t xml:space="preserve">ти </w:t>
      </w:r>
    </w:p>
    <w:p w:rsidR="0014266D" w:rsidRPr="009F1D1A" w:rsidRDefault="0014266D" w:rsidP="009F1D1A">
      <w:pPr>
        <w:spacing w:after="0" w:line="240" w:lineRule="auto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9F1D1A">
        <w:rPr>
          <w:rFonts w:ascii="Arial" w:hAnsi="Arial" w:cs="Arial"/>
          <w:i/>
          <w:sz w:val="20"/>
          <w:szCs w:val="20"/>
        </w:rPr>
        <w:t>в колонках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9F1D1A">
        <w:rPr>
          <w:rFonts w:ascii="Arial" w:hAnsi="Arial" w:cs="Arial"/>
          <w:i/>
          <w:sz w:val="20"/>
          <w:szCs w:val="20"/>
        </w:rPr>
        <w:t>из суглинков разной влажн</w:t>
      </w:r>
      <w:r w:rsidRPr="009F1D1A">
        <w:rPr>
          <w:rFonts w:ascii="Arial" w:hAnsi="Arial" w:cs="Arial"/>
          <w:i/>
          <w:sz w:val="20"/>
          <w:szCs w:val="20"/>
        </w:rPr>
        <w:t>о</w:t>
      </w:r>
      <w:r w:rsidRPr="009F1D1A">
        <w:rPr>
          <w:rFonts w:ascii="Arial" w:hAnsi="Arial" w:cs="Arial"/>
          <w:i/>
          <w:sz w:val="20"/>
          <w:szCs w:val="20"/>
        </w:rPr>
        <w:t>сти.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Таким образом, используя значения фоновых (исходных) концентраций ртути, п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глощ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нной различными образцами, и сравнивая эти значения [3] с величинами макс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мального поглощения при диффузии паров ртути, определ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нными экспериментально, можно объективно оценивать парц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альные давления паров ртути в породах различных регионах. Так, для юрских глин и верхнечетвертичных песков Московской синеклизы оцененные значения парциальных давлений паров ртути оказываются в среднем в 2 раза меньше, чем для суглинков из коры выветривания юрских пород Приангарья. О</w:t>
      </w:r>
      <w:r w:rsidRPr="008D4C00">
        <w:rPr>
          <w:rFonts w:ascii="Arial" w:hAnsi="Arial" w:cs="Arial"/>
          <w:sz w:val="24"/>
          <w:szCs w:val="24"/>
        </w:rPr>
        <w:t>б</w:t>
      </w:r>
      <w:r w:rsidRPr="008D4C00">
        <w:rPr>
          <w:rFonts w:ascii="Arial" w:hAnsi="Arial" w:cs="Arial"/>
          <w:sz w:val="24"/>
          <w:szCs w:val="24"/>
        </w:rPr>
        <w:t>разцы из Байкальской рифтовой зоны характеризуются заметно (до 20 раз) большими парциальными давлениями паров рт</w:t>
      </w:r>
      <w:r w:rsidRPr="008D4C00">
        <w:rPr>
          <w:rFonts w:ascii="Arial" w:hAnsi="Arial" w:cs="Arial"/>
          <w:sz w:val="24"/>
          <w:szCs w:val="24"/>
        </w:rPr>
        <w:t>у</w:t>
      </w:r>
      <w:r w:rsidRPr="008D4C00">
        <w:rPr>
          <w:rFonts w:ascii="Arial" w:hAnsi="Arial" w:cs="Arial"/>
          <w:sz w:val="24"/>
          <w:szCs w:val="24"/>
        </w:rPr>
        <w:t>ти. Конечно, это предварительные результаты, но устойчивость величин позволяет дать оценку стационарного потока эндогенной газовой эмиссии через поверхность зе</w:t>
      </w:r>
      <w:r w:rsidRPr="008D4C00">
        <w:rPr>
          <w:rFonts w:ascii="Arial" w:hAnsi="Arial" w:cs="Arial"/>
          <w:sz w:val="24"/>
          <w:szCs w:val="24"/>
        </w:rPr>
        <w:t>м</w:t>
      </w:r>
      <w:r w:rsidRPr="008D4C00">
        <w:rPr>
          <w:rFonts w:ascii="Arial" w:hAnsi="Arial" w:cs="Arial"/>
          <w:sz w:val="24"/>
          <w:szCs w:val="24"/>
        </w:rPr>
        <w:t xml:space="preserve">ного шара. 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F1D1A">
        <w:rPr>
          <w:rFonts w:ascii="Arial" w:hAnsi="Arial" w:cs="Arial"/>
          <w:sz w:val="24"/>
          <w:szCs w:val="24"/>
        </w:rPr>
        <w:pict>
          <v:rect id="_x0000_i1030" style="width:0;height:1.5pt" o:hralign="center" o:hrstd="t" o:hr="t" fillcolor="gray" stroked="f"/>
        </w:pic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Общепринятое значение плотности теплового потока для земного шара оценив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ется в 6,03</w:t>
      </w:r>
      <w:r w:rsidRPr="009F1D1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9F1D1A">
        <w:rPr>
          <w:rFonts w:ascii="Arial" w:hAnsi="Arial" w:cs="Arial"/>
          <w:sz w:val="24"/>
          <w:szCs w:val="24"/>
          <w:vertAlign w:val="superscript"/>
        </w:rPr>
        <w:t>-6</w:t>
      </w:r>
      <w:r w:rsidRPr="008D4C00">
        <w:rPr>
          <w:rFonts w:ascii="Arial" w:hAnsi="Arial" w:cs="Arial"/>
          <w:sz w:val="24"/>
          <w:szCs w:val="24"/>
        </w:rPr>
        <w:t xml:space="preserve"> Дж/см</w:t>
      </w:r>
      <w:r w:rsidRPr="009F1D1A">
        <w:rPr>
          <w:rFonts w:ascii="Arial" w:hAnsi="Arial" w:cs="Arial"/>
          <w:sz w:val="24"/>
          <w:szCs w:val="24"/>
          <w:vertAlign w:val="superscript"/>
        </w:rPr>
        <w:t>2</w:t>
      </w:r>
      <w:r w:rsidRPr="009F1D1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 xml:space="preserve">сек. Для поверхности земного шара </w:t>
      </w:r>
      <w:r>
        <w:rPr>
          <w:rFonts w:ascii="Arial" w:hAnsi="Arial" w:cs="Arial"/>
          <w:sz w:val="24"/>
          <w:szCs w:val="24"/>
        </w:rPr>
        <w:t>(</w:t>
      </w:r>
      <w:r w:rsidRPr="008D4C00">
        <w:rPr>
          <w:rFonts w:ascii="Arial" w:hAnsi="Arial" w:cs="Arial"/>
          <w:sz w:val="24"/>
          <w:szCs w:val="24"/>
        </w:rPr>
        <w:t>510</w:t>
      </w:r>
      <w:r>
        <w:rPr>
          <w:rFonts w:ascii="Arial" w:hAnsi="Arial" w:cs="Arial"/>
          <w:sz w:val="24"/>
          <w:szCs w:val="24"/>
        </w:rPr>
        <w:t> </w:t>
      </w:r>
      <w:r w:rsidRPr="008D4C00">
        <w:rPr>
          <w:rFonts w:ascii="Arial" w:hAnsi="Arial" w:cs="Arial"/>
          <w:sz w:val="24"/>
          <w:szCs w:val="24"/>
        </w:rPr>
        <w:t>000</w:t>
      </w:r>
      <w:r>
        <w:rPr>
          <w:rFonts w:ascii="Arial" w:hAnsi="Arial" w:cs="Arial"/>
          <w:sz w:val="24"/>
          <w:szCs w:val="24"/>
        </w:rPr>
        <w:t xml:space="preserve"> 000</w:t>
      </w:r>
      <w:r w:rsidRPr="008D4C00">
        <w:rPr>
          <w:rFonts w:ascii="Arial" w:hAnsi="Arial" w:cs="Arial"/>
          <w:sz w:val="24"/>
          <w:szCs w:val="24"/>
        </w:rPr>
        <w:t xml:space="preserve"> км</w:t>
      </w:r>
      <w:r w:rsidRPr="009F1D1A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)</w:t>
      </w:r>
      <w:r w:rsidRPr="008D4C00">
        <w:rPr>
          <w:rFonts w:ascii="Arial" w:hAnsi="Arial" w:cs="Arial"/>
          <w:sz w:val="24"/>
          <w:szCs w:val="24"/>
        </w:rPr>
        <w:t xml:space="preserve"> это д</w:t>
      </w:r>
      <w:r w:rsidRPr="008D4C00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т тепловой поток 9,6</w:t>
      </w:r>
      <w:r w:rsidRPr="009F1D1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9F1D1A">
        <w:rPr>
          <w:rFonts w:ascii="Arial" w:hAnsi="Arial" w:cs="Arial"/>
          <w:sz w:val="24"/>
          <w:szCs w:val="24"/>
          <w:vertAlign w:val="superscript"/>
        </w:rPr>
        <w:t>20</w:t>
      </w:r>
      <w:r w:rsidRPr="008D4C00">
        <w:rPr>
          <w:rFonts w:ascii="Arial" w:hAnsi="Arial" w:cs="Arial"/>
          <w:sz w:val="24"/>
          <w:szCs w:val="24"/>
        </w:rPr>
        <w:t xml:space="preserve"> Дж/год. Для ужесточения оценки допустим, что для обы</w:t>
      </w:r>
      <w:r w:rsidRPr="008D4C00">
        <w:rPr>
          <w:rFonts w:ascii="Arial" w:hAnsi="Arial" w:cs="Arial"/>
          <w:sz w:val="24"/>
          <w:szCs w:val="24"/>
        </w:rPr>
        <w:t>ч</w:t>
      </w:r>
      <w:r w:rsidRPr="008D4C00">
        <w:rPr>
          <w:rFonts w:ascii="Arial" w:hAnsi="Arial" w:cs="Arial"/>
          <w:sz w:val="24"/>
          <w:szCs w:val="24"/>
        </w:rPr>
        <w:t xml:space="preserve">ных gradT в земной коре </w:t>
      </w:r>
      <w:r>
        <w:rPr>
          <w:rFonts w:ascii="Arial" w:hAnsi="Arial" w:cs="Arial"/>
          <w:sz w:val="24"/>
          <w:szCs w:val="24"/>
        </w:rPr>
        <w:t>(</w:t>
      </w:r>
      <w:r w:rsidRPr="008D4C00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…</w:t>
      </w:r>
      <w:r w:rsidRPr="008D4C00">
        <w:rPr>
          <w:rFonts w:ascii="Arial" w:hAnsi="Arial" w:cs="Arial"/>
          <w:sz w:val="24"/>
          <w:szCs w:val="24"/>
        </w:rPr>
        <w:t>40</w:t>
      </w:r>
      <w:r w:rsidRPr="009F1D1A">
        <w:rPr>
          <w:rFonts w:ascii="Arial" w:hAnsi="Arial" w:cs="Arial"/>
          <w:sz w:val="24"/>
          <w:szCs w:val="24"/>
          <w:vertAlign w:val="superscript"/>
        </w:rPr>
        <w:t>0</w:t>
      </w:r>
      <w:r w:rsidRPr="008D4C00">
        <w:rPr>
          <w:rFonts w:ascii="Arial" w:hAnsi="Arial" w:cs="Arial"/>
          <w:sz w:val="24"/>
          <w:szCs w:val="24"/>
        </w:rPr>
        <w:t>С/км</w:t>
      </w:r>
      <w:r>
        <w:rPr>
          <w:rFonts w:ascii="Arial" w:hAnsi="Arial" w:cs="Arial"/>
          <w:sz w:val="24"/>
          <w:szCs w:val="24"/>
        </w:rPr>
        <w:t>)</w:t>
      </w:r>
      <w:r w:rsidRPr="008D4C00">
        <w:rPr>
          <w:rFonts w:ascii="Arial" w:hAnsi="Arial" w:cs="Arial"/>
          <w:sz w:val="24"/>
          <w:szCs w:val="24"/>
        </w:rPr>
        <w:t xml:space="preserve"> в случае нормального градиента </w:t>
      </w:r>
      <w:r>
        <w:rPr>
          <w:rFonts w:ascii="Arial" w:hAnsi="Arial" w:cs="Arial"/>
          <w:sz w:val="24"/>
          <w:szCs w:val="24"/>
        </w:rPr>
        <w:t>(</w:t>
      </w:r>
      <w:r w:rsidRPr="008D4C00">
        <w:rPr>
          <w:rFonts w:ascii="Arial" w:hAnsi="Arial" w:cs="Arial"/>
          <w:sz w:val="24"/>
          <w:szCs w:val="24"/>
        </w:rPr>
        <w:t>33</w:t>
      </w:r>
      <w:r w:rsidRPr="009F1D1A">
        <w:rPr>
          <w:rFonts w:ascii="Arial" w:hAnsi="Arial" w:cs="Arial"/>
          <w:sz w:val="24"/>
          <w:szCs w:val="24"/>
          <w:vertAlign w:val="superscript"/>
        </w:rPr>
        <w:t>0</w:t>
      </w:r>
      <w:r w:rsidRPr="008D4C00">
        <w:rPr>
          <w:rFonts w:ascii="Arial" w:hAnsi="Arial" w:cs="Arial"/>
          <w:sz w:val="24"/>
          <w:szCs w:val="24"/>
        </w:rPr>
        <w:t>С/км</w:t>
      </w:r>
      <w:r>
        <w:rPr>
          <w:rFonts w:ascii="Arial" w:hAnsi="Arial" w:cs="Arial"/>
          <w:sz w:val="24"/>
          <w:szCs w:val="24"/>
        </w:rPr>
        <w:t>)</w:t>
      </w:r>
      <w:r w:rsidRPr="008D4C00">
        <w:rPr>
          <w:rFonts w:ascii="Arial" w:hAnsi="Arial" w:cs="Arial"/>
          <w:sz w:val="24"/>
          <w:szCs w:val="24"/>
        </w:rPr>
        <w:t xml:space="preserve"> лишь 1/3, то есть 10</w:t>
      </w:r>
      <w:r w:rsidRPr="009F1D1A">
        <w:rPr>
          <w:rFonts w:ascii="Arial" w:hAnsi="Arial" w:cs="Arial"/>
          <w:sz w:val="24"/>
          <w:szCs w:val="24"/>
          <w:vertAlign w:val="superscript"/>
        </w:rPr>
        <w:t>0</w:t>
      </w:r>
      <w:r w:rsidRPr="008D4C00">
        <w:rPr>
          <w:rFonts w:ascii="Arial" w:hAnsi="Arial" w:cs="Arial"/>
          <w:sz w:val="24"/>
          <w:szCs w:val="24"/>
        </w:rPr>
        <w:t xml:space="preserve">С/км обеспечиваются кондуктивной теплопроводностью по каркасу горных пород, а 2/3 – конвективным флюидным потоком газового дыхания.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Используя тепловую аналогию, попытаемся решить задачу оценки потока массы при газовой эмиссии. У</w:t>
      </w:r>
      <w:r w:rsidRPr="008D4C00">
        <w:rPr>
          <w:rFonts w:ascii="Arial" w:hAnsi="Arial" w:cs="Arial"/>
          <w:sz w:val="24"/>
          <w:szCs w:val="24"/>
        </w:rPr>
        <w:t>ч</w:t>
      </w:r>
      <w:r w:rsidRPr="008D4C00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м, что для воздуха тепло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мкость (0-100</w:t>
      </w:r>
      <w:r w:rsidRPr="009F1D1A">
        <w:rPr>
          <w:rFonts w:ascii="Arial" w:hAnsi="Arial" w:cs="Arial"/>
          <w:sz w:val="24"/>
          <w:szCs w:val="24"/>
          <w:vertAlign w:val="superscript"/>
        </w:rPr>
        <w:t>0</w:t>
      </w:r>
      <w:r w:rsidRPr="008D4C00">
        <w:rPr>
          <w:rFonts w:ascii="Arial" w:hAnsi="Arial" w:cs="Arial"/>
          <w:sz w:val="24"/>
          <w:szCs w:val="24"/>
        </w:rPr>
        <w:t>С) равна 1 кДж/кг*град, а у водяного пара она в 2 раза больше. Тогда конвективный поток тепла может быть преобразован к форме J</w:t>
      </w:r>
      <w:r w:rsidRPr="009F1D1A">
        <w:rPr>
          <w:rFonts w:ascii="Arial" w:hAnsi="Arial" w:cs="Arial"/>
          <w:sz w:val="24"/>
          <w:szCs w:val="24"/>
          <w:vertAlign w:val="subscript"/>
        </w:rPr>
        <w:t>q</w:t>
      </w:r>
      <w:r w:rsidRPr="008D4C00">
        <w:rPr>
          <w:rFonts w:ascii="Arial" w:hAnsi="Arial" w:cs="Arial"/>
          <w:sz w:val="24"/>
          <w:szCs w:val="24"/>
        </w:rPr>
        <w:t xml:space="preserve"> = Cp</w:t>
      </w:r>
      <w:r w:rsidRPr="009F1D1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T</w:t>
      </w:r>
      <w:r w:rsidRPr="009F1D1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 xml:space="preserve">m.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Отсюда, используя тепло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мкость водяного пара как самую ж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сткую (заниженную по потоку массы) оценку</w:t>
      </w:r>
      <w:r>
        <w:rPr>
          <w:rFonts w:ascii="Arial" w:hAnsi="Arial" w:cs="Arial"/>
          <w:sz w:val="24"/>
          <w:szCs w:val="24"/>
        </w:rPr>
        <w:t>,</w:t>
      </w:r>
      <w:r w:rsidRPr="008D4C00">
        <w:rPr>
          <w:rFonts w:ascii="Arial" w:hAnsi="Arial" w:cs="Arial"/>
          <w:sz w:val="24"/>
          <w:szCs w:val="24"/>
        </w:rPr>
        <w:t xml:space="preserve"> мы можем найти интегральную массу потока газовой эмиссии (m), используя в качестве J</w:t>
      </w:r>
      <w:r w:rsidRPr="00C5338A">
        <w:rPr>
          <w:rFonts w:ascii="Arial" w:hAnsi="Arial" w:cs="Arial"/>
          <w:sz w:val="24"/>
          <w:szCs w:val="24"/>
          <w:vertAlign w:val="subscript"/>
        </w:rPr>
        <w:t>q</w:t>
      </w:r>
      <w:r w:rsidRPr="008D4C00">
        <w:rPr>
          <w:rFonts w:ascii="Arial" w:hAnsi="Arial" w:cs="Arial"/>
          <w:sz w:val="24"/>
          <w:szCs w:val="24"/>
        </w:rPr>
        <w:t xml:space="preserve"> долю конвективного потока, то есть 6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20</w:t>
      </w:r>
      <w:r w:rsidRPr="008D4C00">
        <w:rPr>
          <w:rFonts w:ascii="Arial" w:hAnsi="Arial" w:cs="Arial"/>
          <w:sz w:val="24"/>
          <w:szCs w:val="24"/>
        </w:rPr>
        <w:t xml:space="preserve"> Дж/год для те</w:t>
      </w:r>
      <w:r w:rsidRPr="008D4C00">
        <w:rPr>
          <w:rFonts w:ascii="Arial" w:hAnsi="Arial" w:cs="Arial"/>
          <w:sz w:val="24"/>
          <w:szCs w:val="24"/>
        </w:rPr>
        <w:t>м</w:t>
      </w:r>
      <w:r w:rsidRPr="008D4C00">
        <w:rPr>
          <w:rFonts w:ascii="Arial" w:hAnsi="Arial" w:cs="Arial"/>
          <w:sz w:val="24"/>
          <w:szCs w:val="24"/>
        </w:rPr>
        <w:t>пературы 30</w:t>
      </w:r>
      <w:r w:rsidRPr="00C5338A">
        <w:rPr>
          <w:rFonts w:ascii="Arial" w:hAnsi="Arial" w:cs="Arial"/>
          <w:sz w:val="24"/>
          <w:szCs w:val="24"/>
        </w:rPr>
        <w:t>0</w:t>
      </w:r>
      <w:r w:rsidRPr="008D4C00">
        <w:rPr>
          <w:rFonts w:ascii="Arial" w:hAnsi="Arial" w:cs="Arial"/>
          <w:sz w:val="24"/>
          <w:szCs w:val="24"/>
        </w:rPr>
        <w:t>К: 6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20</w:t>
      </w:r>
      <w:r w:rsidRPr="008D4C00">
        <w:rPr>
          <w:rFonts w:ascii="Arial" w:hAnsi="Arial" w:cs="Arial"/>
          <w:sz w:val="24"/>
          <w:szCs w:val="24"/>
        </w:rPr>
        <w:t xml:space="preserve"> Дж/год = 2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3</w:t>
      </w:r>
      <w:r w:rsidRPr="008D4C00">
        <w:rPr>
          <w:rFonts w:ascii="Arial" w:hAnsi="Arial" w:cs="Arial"/>
          <w:sz w:val="24"/>
          <w:szCs w:val="24"/>
        </w:rPr>
        <w:t xml:space="preserve"> Дж/кг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град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30</w:t>
      </w:r>
      <w:r w:rsidRPr="00C5338A">
        <w:rPr>
          <w:rFonts w:ascii="Arial" w:hAnsi="Arial" w:cs="Arial"/>
          <w:sz w:val="24"/>
          <w:szCs w:val="24"/>
        </w:rPr>
        <w:t>0</w:t>
      </w:r>
      <w:r w:rsidRPr="008D4C00">
        <w:rPr>
          <w:rFonts w:ascii="Arial" w:hAnsi="Arial" w:cs="Arial"/>
          <w:sz w:val="24"/>
          <w:szCs w:val="24"/>
        </w:rPr>
        <w:t xml:space="preserve"> град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m. Отсюда получаем m ~10</w:t>
      </w:r>
      <w:r w:rsidRPr="00C5338A">
        <w:rPr>
          <w:rFonts w:ascii="Arial" w:hAnsi="Arial" w:cs="Arial"/>
          <w:sz w:val="24"/>
          <w:szCs w:val="24"/>
          <w:vertAlign w:val="superscript"/>
        </w:rPr>
        <w:t>15</w:t>
      </w:r>
      <w:r w:rsidRPr="008D4C00">
        <w:rPr>
          <w:rFonts w:ascii="Arial" w:hAnsi="Arial" w:cs="Arial"/>
          <w:sz w:val="24"/>
          <w:szCs w:val="24"/>
        </w:rPr>
        <w:t xml:space="preserve"> кг/год или в молях Н</w:t>
      </w:r>
      <w:r w:rsidRPr="00C5338A">
        <w:rPr>
          <w:rFonts w:ascii="Arial" w:hAnsi="Arial" w:cs="Arial"/>
          <w:sz w:val="24"/>
          <w:szCs w:val="24"/>
          <w:vertAlign w:val="subscript"/>
        </w:rPr>
        <w:t>2</w:t>
      </w:r>
      <w:r w:rsidRPr="008D4C00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8D4C00">
        <w:rPr>
          <w:rFonts w:ascii="Arial" w:hAnsi="Arial" w:cs="Arial"/>
          <w:sz w:val="24"/>
          <w:szCs w:val="24"/>
        </w:rPr>
        <w:t>~</w:t>
      </w:r>
      <w:r>
        <w:rPr>
          <w:rFonts w:ascii="Arial" w:hAnsi="Arial" w:cs="Arial"/>
          <w:sz w:val="24"/>
          <w:szCs w:val="24"/>
        </w:rPr>
        <w:t xml:space="preserve"> </w:t>
      </w:r>
      <w:r w:rsidRPr="008D4C00">
        <w:rPr>
          <w:rFonts w:ascii="Arial" w:hAnsi="Arial" w:cs="Arial"/>
          <w:sz w:val="24"/>
          <w:szCs w:val="24"/>
        </w:rPr>
        <w:t>5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13</w:t>
      </w:r>
      <w:r w:rsidRPr="008D4C00">
        <w:rPr>
          <w:rFonts w:ascii="Arial" w:hAnsi="Arial" w:cs="Arial"/>
          <w:sz w:val="24"/>
          <w:szCs w:val="24"/>
        </w:rPr>
        <w:t xml:space="preserve"> М/год.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При общем давлении 1 атм, давлении насыщенных паров ртути 7,4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-5</w:t>
      </w:r>
      <w:r w:rsidRPr="008D4C00">
        <w:rPr>
          <w:rFonts w:ascii="Arial" w:hAnsi="Arial" w:cs="Arial"/>
          <w:sz w:val="24"/>
          <w:szCs w:val="24"/>
        </w:rPr>
        <w:t xml:space="preserve"> и найде</w:t>
      </w:r>
      <w:r w:rsidRPr="008D4C00">
        <w:rPr>
          <w:rFonts w:ascii="Arial" w:hAnsi="Arial" w:cs="Arial"/>
          <w:sz w:val="24"/>
          <w:szCs w:val="24"/>
        </w:rPr>
        <w:t>н</w:t>
      </w:r>
      <w:r w:rsidRPr="008D4C00">
        <w:rPr>
          <w:rFonts w:ascii="Arial" w:hAnsi="Arial" w:cs="Arial"/>
          <w:sz w:val="24"/>
          <w:szCs w:val="24"/>
        </w:rPr>
        <w:t>ном парциальном давлении 10</w:t>
      </w:r>
      <w:r w:rsidRPr="00C5338A">
        <w:rPr>
          <w:rFonts w:ascii="Arial" w:hAnsi="Arial" w:cs="Arial"/>
          <w:sz w:val="24"/>
          <w:szCs w:val="24"/>
          <w:vertAlign w:val="superscript"/>
        </w:rPr>
        <w:t>-2</w:t>
      </w:r>
      <w:r w:rsidRPr="008D4C00">
        <w:rPr>
          <w:rFonts w:ascii="Arial" w:hAnsi="Arial" w:cs="Arial"/>
          <w:sz w:val="24"/>
          <w:szCs w:val="24"/>
        </w:rPr>
        <w:t xml:space="preserve"> от давления насыщенных паров ртути мы получим мольный поток ртути через поверхность земного шара: ~(5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13</w:t>
      </w:r>
      <w:r w:rsidRPr="008D4C00">
        <w:rPr>
          <w:rFonts w:ascii="Arial" w:hAnsi="Arial" w:cs="Arial"/>
          <w:sz w:val="24"/>
          <w:szCs w:val="24"/>
        </w:rPr>
        <w:t>)М/год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(7,4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-5</w:t>
      </w:r>
      <w:r w:rsidRPr="008D4C00">
        <w:rPr>
          <w:rFonts w:ascii="Arial" w:hAnsi="Arial" w:cs="Arial"/>
          <w:sz w:val="24"/>
          <w:szCs w:val="24"/>
        </w:rPr>
        <w:t>)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 xml:space="preserve"> </w:t>
      </w:r>
      <w:r w:rsidRPr="008D4C00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</w:t>
      </w:r>
      <w:r w:rsidRPr="008D4C00">
        <w:rPr>
          <w:rFonts w:ascii="Arial" w:hAnsi="Arial" w:cs="Arial"/>
          <w:sz w:val="24"/>
          <w:szCs w:val="24"/>
        </w:rPr>
        <w:t>3,7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7</w:t>
      </w:r>
      <w:r w:rsidRPr="008D4C00">
        <w:rPr>
          <w:rFonts w:ascii="Arial" w:hAnsi="Arial" w:cs="Arial"/>
          <w:sz w:val="24"/>
          <w:szCs w:val="24"/>
        </w:rPr>
        <w:t xml:space="preserve"> М/год.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В массовом выражении 3,7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10</w:t>
      </w:r>
      <w:r w:rsidRPr="00C5338A">
        <w:rPr>
          <w:rFonts w:ascii="Arial" w:hAnsi="Arial" w:cs="Arial"/>
          <w:sz w:val="24"/>
          <w:szCs w:val="24"/>
          <w:vertAlign w:val="superscript"/>
        </w:rPr>
        <w:t>7</w:t>
      </w:r>
      <w:r w:rsidRPr="008D4C00">
        <w:rPr>
          <w:rFonts w:ascii="Arial" w:hAnsi="Arial" w:cs="Arial"/>
          <w:sz w:val="24"/>
          <w:szCs w:val="24"/>
        </w:rPr>
        <w:t xml:space="preserve"> М/год.</w:t>
      </w:r>
      <w:r w:rsidRPr="00C5338A">
        <w:rPr>
          <w:rFonts w:ascii="Arial" w:hAnsi="Arial" w:cs="Arial"/>
          <w:sz w:val="24"/>
          <w:szCs w:val="24"/>
          <w:vertAlign w:val="subscript"/>
        </w:rPr>
        <w:t>*</w:t>
      </w:r>
      <w:r w:rsidRPr="008D4C00">
        <w:rPr>
          <w:rFonts w:ascii="Arial" w:hAnsi="Arial" w:cs="Arial"/>
          <w:sz w:val="24"/>
          <w:szCs w:val="24"/>
        </w:rPr>
        <w:t>200,59 = 74</w:t>
      </w:r>
      <w:r>
        <w:rPr>
          <w:rFonts w:ascii="Arial" w:hAnsi="Arial" w:cs="Arial"/>
          <w:sz w:val="24"/>
          <w:szCs w:val="24"/>
        </w:rPr>
        <w:t>00</w:t>
      </w:r>
      <w:r w:rsidRPr="008D4C00">
        <w:rPr>
          <w:rFonts w:ascii="Arial" w:hAnsi="Arial" w:cs="Arial"/>
          <w:sz w:val="24"/>
          <w:szCs w:val="24"/>
        </w:rPr>
        <w:t xml:space="preserve"> т</w:t>
      </w:r>
      <w:r>
        <w:rPr>
          <w:rFonts w:ascii="Arial" w:hAnsi="Arial" w:cs="Arial"/>
          <w:sz w:val="24"/>
          <w:szCs w:val="24"/>
        </w:rPr>
        <w:t>онн</w:t>
      </w:r>
      <w:r w:rsidRPr="008D4C00">
        <w:rPr>
          <w:rFonts w:ascii="Arial" w:hAnsi="Arial" w:cs="Arial"/>
          <w:sz w:val="24"/>
          <w:szCs w:val="24"/>
        </w:rPr>
        <w:t xml:space="preserve"> ртути в год, что сущес</w:t>
      </w:r>
      <w:r w:rsidRPr="008D4C00">
        <w:rPr>
          <w:rFonts w:ascii="Arial" w:hAnsi="Arial" w:cs="Arial"/>
          <w:sz w:val="24"/>
          <w:szCs w:val="24"/>
        </w:rPr>
        <w:t>т</w:t>
      </w:r>
      <w:r w:rsidRPr="008D4C00">
        <w:rPr>
          <w:rFonts w:ascii="Arial" w:hAnsi="Arial" w:cs="Arial"/>
          <w:sz w:val="24"/>
          <w:szCs w:val="24"/>
        </w:rPr>
        <w:t xml:space="preserve">венно выше мировой годовой </w:t>
      </w:r>
      <w:r>
        <w:rPr>
          <w:rFonts w:ascii="Arial" w:hAnsi="Arial" w:cs="Arial"/>
          <w:sz w:val="24"/>
          <w:szCs w:val="24"/>
        </w:rPr>
        <w:t xml:space="preserve">её </w:t>
      </w:r>
      <w:r w:rsidRPr="008D4C00">
        <w:rPr>
          <w:rFonts w:ascii="Arial" w:hAnsi="Arial" w:cs="Arial"/>
          <w:sz w:val="24"/>
          <w:szCs w:val="24"/>
        </w:rPr>
        <w:t xml:space="preserve">добычи. В то же время эта оценка заметно выше, чем оценка Нриагу (табл. 1), и приближается к оценкам Торнтона </w:t>
      </w:r>
      <w:r>
        <w:rPr>
          <w:rFonts w:ascii="Arial" w:hAnsi="Arial" w:cs="Arial"/>
          <w:sz w:val="24"/>
          <w:szCs w:val="24"/>
        </w:rPr>
        <w:t>(</w:t>
      </w:r>
      <w:r w:rsidRPr="008D4C00">
        <w:rPr>
          <w:rFonts w:ascii="Arial" w:hAnsi="Arial" w:cs="Arial"/>
          <w:sz w:val="24"/>
          <w:szCs w:val="24"/>
        </w:rPr>
        <w:t>18 тыс.т/год</w:t>
      </w:r>
      <w:r>
        <w:rPr>
          <w:rFonts w:ascii="Arial" w:hAnsi="Arial" w:cs="Arial"/>
          <w:sz w:val="24"/>
          <w:szCs w:val="24"/>
        </w:rPr>
        <w:t>)</w:t>
      </w:r>
      <w:r w:rsidRPr="008D4C00">
        <w:rPr>
          <w:rFonts w:ascii="Arial" w:hAnsi="Arial" w:cs="Arial"/>
          <w:sz w:val="24"/>
          <w:szCs w:val="24"/>
        </w:rPr>
        <w:t xml:space="preserve"> и Расмусс</w:t>
      </w:r>
      <w:r w:rsidRPr="008D4C00">
        <w:rPr>
          <w:rFonts w:ascii="Arial" w:hAnsi="Arial" w:cs="Arial"/>
          <w:sz w:val="24"/>
          <w:szCs w:val="24"/>
        </w:rPr>
        <w:t>е</w:t>
      </w:r>
      <w:r w:rsidRPr="008D4C00">
        <w:rPr>
          <w:rFonts w:ascii="Arial" w:hAnsi="Arial" w:cs="Arial"/>
          <w:sz w:val="24"/>
          <w:szCs w:val="24"/>
        </w:rPr>
        <w:t xml:space="preserve">на </w:t>
      </w:r>
      <w:r>
        <w:rPr>
          <w:rFonts w:ascii="Arial" w:hAnsi="Arial" w:cs="Arial"/>
          <w:sz w:val="24"/>
          <w:szCs w:val="24"/>
        </w:rPr>
        <w:t>(</w:t>
      </w:r>
      <w:r w:rsidRPr="008D4C00">
        <w:rPr>
          <w:rFonts w:ascii="Arial" w:hAnsi="Arial" w:cs="Arial"/>
          <w:sz w:val="24"/>
          <w:szCs w:val="24"/>
        </w:rPr>
        <w:t>35 тыс.т/год</w:t>
      </w:r>
      <w:r>
        <w:rPr>
          <w:rFonts w:ascii="Arial" w:hAnsi="Arial" w:cs="Arial"/>
          <w:sz w:val="24"/>
          <w:szCs w:val="24"/>
        </w:rPr>
        <w:t>)</w:t>
      </w:r>
      <w:r w:rsidRPr="008D4C00">
        <w:rPr>
          <w:rFonts w:ascii="Arial" w:hAnsi="Arial" w:cs="Arial"/>
          <w:sz w:val="24"/>
          <w:szCs w:val="24"/>
        </w:rPr>
        <w:t xml:space="preserve">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Следует отметить, что полученное нами значение относится только к потоку дег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 xml:space="preserve">зации.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C5338A" w:rsidRDefault="0014266D" w:rsidP="008D4C00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C5338A">
        <w:rPr>
          <w:rFonts w:ascii="Arial" w:hAnsi="Arial" w:cs="Arial"/>
          <w:i/>
          <w:sz w:val="24"/>
          <w:szCs w:val="24"/>
          <w:u w:val="single"/>
        </w:rPr>
        <w:t xml:space="preserve">Таблица 1 </w:t>
      </w:r>
    </w:p>
    <w:p w:rsidR="0014266D" w:rsidRPr="00C5338A" w:rsidRDefault="0014266D" w:rsidP="008D4C00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5338A">
        <w:rPr>
          <w:rFonts w:ascii="Arial" w:hAnsi="Arial" w:cs="Arial"/>
          <w:b/>
          <w:sz w:val="24"/>
          <w:szCs w:val="24"/>
        </w:rPr>
        <w:t>Медианные величины интенсивности поступления ртути в атмосферу от ра</w:t>
      </w:r>
      <w:r w:rsidRPr="00C5338A">
        <w:rPr>
          <w:rFonts w:ascii="Arial" w:hAnsi="Arial" w:cs="Arial"/>
          <w:b/>
          <w:sz w:val="24"/>
          <w:szCs w:val="24"/>
        </w:rPr>
        <w:t>з</w:t>
      </w:r>
      <w:r w:rsidRPr="00C5338A">
        <w:rPr>
          <w:rFonts w:ascii="Arial" w:hAnsi="Arial" w:cs="Arial"/>
          <w:b/>
          <w:sz w:val="24"/>
          <w:szCs w:val="24"/>
        </w:rPr>
        <w:t xml:space="preserve">личных природных источников (в скобках – возможный диапазон), по оценкам Дж. Нриагу 1989 г.[4] 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14266D" w:rsidRPr="00C5338A" w:rsidTr="00C5338A">
        <w:tc>
          <w:tcPr>
            <w:tcW w:w="4644" w:type="dxa"/>
          </w:tcPr>
          <w:p w:rsidR="0014266D" w:rsidRPr="00C5338A" w:rsidRDefault="0014266D" w:rsidP="00C5338A">
            <w:pPr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C5338A">
              <w:rPr>
                <w:rFonts w:ascii="Arial" w:hAnsi="Arial" w:cs="Arial"/>
                <w:i/>
                <w:sz w:val="24"/>
                <w:szCs w:val="24"/>
              </w:rPr>
              <w:t>Природный и</w:t>
            </w:r>
            <w:r w:rsidRPr="00C5338A">
              <w:rPr>
                <w:rFonts w:ascii="Arial" w:hAnsi="Arial" w:cs="Arial"/>
                <w:i/>
                <w:sz w:val="24"/>
                <w:szCs w:val="24"/>
              </w:rPr>
              <w:t>с</w:t>
            </w:r>
            <w:r w:rsidRPr="00C5338A">
              <w:rPr>
                <w:rFonts w:ascii="Arial" w:hAnsi="Arial" w:cs="Arial"/>
                <w:i/>
                <w:sz w:val="24"/>
                <w:szCs w:val="24"/>
              </w:rPr>
              <w:t>точник</w:t>
            </w:r>
          </w:p>
        </w:tc>
        <w:tc>
          <w:tcPr>
            <w:tcW w:w="4644" w:type="dxa"/>
          </w:tcPr>
          <w:p w:rsidR="0014266D" w:rsidRPr="00C5338A" w:rsidRDefault="0014266D" w:rsidP="00C5338A">
            <w:pPr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C5338A">
              <w:rPr>
                <w:rFonts w:ascii="Arial" w:hAnsi="Arial" w:cs="Arial"/>
                <w:i/>
                <w:sz w:val="24"/>
                <w:szCs w:val="24"/>
              </w:rPr>
              <w:t>Поступление, тыс.т/год</w:t>
            </w:r>
          </w:p>
        </w:tc>
      </w:tr>
      <w:tr w:rsidR="0014266D" w:rsidRPr="00C5338A" w:rsidTr="00C5338A"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>Ветровой подъ</w:t>
            </w:r>
            <w:r>
              <w:rPr>
                <w:rFonts w:ascii="Arial" w:hAnsi="Arial" w:cs="Arial"/>
                <w:sz w:val="24"/>
                <w:szCs w:val="24"/>
              </w:rPr>
              <w:t>ё</w:t>
            </w:r>
            <w:r w:rsidRPr="00C5338A">
              <w:rPr>
                <w:rFonts w:ascii="Arial" w:hAnsi="Arial" w:cs="Arial"/>
                <w:sz w:val="24"/>
                <w:szCs w:val="24"/>
              </w:rPr>
              <w:t xml:space="preserve">м пыли </w:t>
            </w:r>
          </w:p>
        </w:tc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0,05 (0 – 0,1) </w:t>
            </w:r>
          </w:p>
        </w:tc>
      </w:tr>
      <w:tr w:rsidR="0014266D" w:rsidRPr="00C5338A" w:rsidTr="00C5338A"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Образование частиц морской соли </w:t>
            </w:r>
          </w:p>
        </w:tc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0,02 (0 – 0,04) </w:t>
            </w:r>
          </w:p>
        </w:tc>
      </w:tr>
      <w:tr w:rsidR="0014266D" w:rsidRPr="00C5338A" w:rsidTr="00C5338A"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Вулканические выбросы </w:t>
            </w:r>
          </w:p>
        </w:tc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1 (0,03 – 2) </w:t>
            </w:r>
          </w:p>
        </w:tc>
      </w:tr>
      <w:tr w:rsidR="0014266D" w:rsidRPr="00C5338A" w:rsidTr="00C5338A"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Природные пожары </w:t>
            </w:r>
          </w:p>
        </w:tc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0,02 (0 – 0,05) </w:t>
            </w:r>
          </w:p>
        </w:tc>
      </w:tr>
      <w:tr w:rsidR="0014266D" w:rsidRPr="00C5338A" w:rsidTr="00C5338A"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Биогенные частицы </w:t>
            </w:r>
          </w:p>
        </w:tc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0,02 (0 – 0,04) </w:t>
            </w:r>
          </w:p>
        </w:tc>
      </w:tr>
      <w:tr w:rsidR="0014266D" w:rsidRPr="00C5338A" w:rsidTr="00C5338A"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Дегазация континентальная </w:t>
            </w:r>
          </w:p>
        </w:tc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0,61 (0,02 – 1,2) </w:t>
            </w:r>
          </w:p>
        </w:tc>
      </w:tr>
      <w:tr w:rsidR="0014266D" w:rsidRPr="00C5338A" w:rsidTr="00C5338A"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Дегазация с поверхности океанов </w:t>
            </w:r>
          </w:p>
        </w:tc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0,77 (0,04 – 1,5) </w:t>
            </w:r>
          </w:p>
        </w:tc>
      </w:tr>
      <w:tr w:rsidR="0014266D" w:rsidRPr="00C5338A" w:rsidTr="00C5338A"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Суммарная природная эмиссия </w:t>
            </w:r>
          </w:p>
        </w:tc>
        <w:tc>
          <w:tcPr>
            <w:tcW w:w="4644" w:type="dxa"/>
          </w:tcPr>
          <w:p w:rsidR="0014266D" w:rsidRPr="00C5338A" w:rsidRDefault="0014266D" w:rsidP="001A1CE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338A">
              <w:rPr>
                <w:rFonts w:ascii="Arial" w:hAnsi="Arial" w:cs="Arial"/>
                <w:sz w:val="24"/>
                <w:szCs w:val="24"/>
              </w:rPr>
              <w:t xml:space="preserve">2,5 (0,01 – 4,9) </w:t>
            </w:r>
          </w:p>
        </w:tc>
      </w:tr>
    </w:tbl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F1D1A">
        <w:rPr>
          <w:rFonts w:ascii="Arial" w:hAnsi="Arial" w:cs="Arial"/>
          <w:sz w:val="24"/>
          <w:szCs w:val="24"/>
        </w:rPr>
        <w:pict>
          <v:rect id="_x0000_i1031" style="width:0;height:1.5pt" o:hralign="center" o:hrstd="t" o:hr="t" fillcolor="gray" stroked="f"/>
        </w:pic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C5338A" w:rsidRDefault="0014266D" w:rsidP="008D4C00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5338A">
        <w:rPr>
          <w:rFonts w:ascii="Arial" w:hAnsi="Arial" w:cs="Arial"/>
          <w:b/>
          <w:sz w:val="24"/>
          <w:szCs w:val="24"/>
          <w:u w:val="single"/>
        </w:rPr>
        <w:t xml:space="preserve">Заключение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Проведены методически различные эксперименты, направленные на изучение м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грационных свойств форм ртути, статические эксперименты по определению погл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щающей способности суглинков для серии модельных растворов ртути с концентр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циями, близкими к антропогенным стокам; произведено определение некоторых пар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>метров и свойств адсорбционно-осадительных барьеров из местных суглинков как п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 xml:space="preserve">тенциального материала барьера. Эксперименты имеют и практическое применение в задачах регионального и локального уровня по иммобилизации и перехвату ртути на различных геохимических барьерах.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Установлено, что основным механизмом поглощения ртути из растворов как в ст</w:t>
      </w:r>
      <w:r w:rsidRPr="008D4C00">
        <w:rPr>
          <w:rFonts w:ascii="Arial" w:hAnsi="Arial" w:cs="Arial"/>
          <w:sz w:val="24"/>
          <w:szCs w:val="24"/>
        </w:rPr>
        <w:t>а</w:t>
      </w:r>
      <w:r w:rsidRPr="008D4C00">
        <w:rPr>
          <w:rFonts w:ascii="Arial" w:hAnsi="Arial" w:cs="Arial"/>
          <w:sz w:val="24"/>
          <w:szCs w:val="24"/>
        </w:rPr>
        <w:t xml:space="preserve">тических экспериментах с модельными растворами, так и в динамических, является не адсорбция, а химическое поглощение с наиболее вероятным осаждением гидроокиси Hg(II), если средой транспорта являются карбонатсодержащие породы. </w:t>
      </w: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Наибольшее внимание уделено изучению поглощения ртути образцами при эми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сии паров из жидкой ртути и диффузионном механизме транспорта. Рассчитанные к</w:t>
      </w:r>
      <w:r w:rsidRPr="008D4C00">
        <w:rPr>
          <w:rFonts w:ascii="Arial" w:hAnsi="Arial" w:cs="Arial"/>
          <w:sz w:val="24"/>
          <w:szCs w:val="24"/>
        </w:rPr>
        <w:t>о</w:t>
      </w:r>
      <w:r w:rsidRPr="008D4C00">
        <w:rPr>
          <w:rFonts w:ascii="Arial" w:hAnsi="Arial" w:cs="Arial"/>
          <w:sz w:val="24"/>
          <w:szCs w:val="24"/>
        </w:rPr>
        <w:t>эффициенты диффузии ртути соответствуют механизму протекающих процессов. У</w:t>
      </w:r>
      <w:r w:rsidRPr="008D4C00">
        <w:rPr>
          <w:rFonts w:ascii="Arial" w:hAnsi="Arial" w:cs="Arial"/>
          <w:sz w:val="24"/>
          <w:szCs w:val="24"/>
        </w:rPr>
        <w:t>с</w:t>
      </w:r>
      <w:r w:rsidRPr="008D4C00">
        <w:rPr>
          <w:rFonts w:ascii="Arial" w:hAnsi="Arial" w:cs="Arial"/>
          <w:sz w:val="24"/>
          <w:szCs w:val="24"/>
        </w:rPr>
        <w:t>тановлено, что на сухих образцах основным механизмом переноса является диффузия в газовой фазе, прич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>м интенсивность е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 меняется в зависимости от влажности, и в о</w:t>
      </w:r>
      <w:r w:rsidRPr="008D4C00">
        <w:rPr>
          <w:rFonts w:ascii="Arial" w:hAnsi="Arial" w:cs="Arial"/>
          <w:sz w:val="24"/>
          <w:szCs w:val="24"/>
        </w:rPr>
        <w:t>б</w:t>
      </w:r>
      <w:r w:rsidRPr="008D4C00">
        <w:rPr>
          <w:rFonts w:ascii="Arial" w:hAnsi="Arial" w:cs="Arial"/>
          <w:sz w:val="24"/>
          <w:szCs w:val="24"/>
        </w:rPr>
        <w:t>разцах с естественной влажностью лимитирующей стадией уже является процесс диффузии через жидкую фазу к поверхности минеральных з</w:t>
      </w:r>
      <w:r>
        <w:rPr>
          <w:rFonts w:ascii="Arial" w:hAnsi="Arial" w:cs="Arial"/>
          <w:sz w:val="24"/>
          <w:szCs w:val="24"/>
        </w:rPr>
        <w:t>ё</w:t>
      </w:r>
      <w:r w:rsidRPr="008D4C00">
        <w:rPr>
          <w:rFonts w:ascii="Arial" w:hAnsi="Arial" w:cs="Arial"/>
          <w:sz w:val="24"/>
          <w:szCs w:val="24"/>
        </w:rPr>
        <w:t xml:space="preserve">рен. 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D4C00">
        <w:rPr>
          <w:rFonts w:ascii="Arial" w:hAnsi="Arial" w:cs="Arial"/>
          <w:sz w:val="24"/>
          <w:szCs w:val="24"/>
        </w:rPr>
        <w:t>Подобные эксперименты позволяют не только оценить вклад в глобальное загря</w:t>
      </w:r>
      <w:r w:rsidRPr="008D4C00">
        <w:rPr>
          <w:rFonts w:ascii="Arial" w:hAnsi="Arial" w:cs="Arial"/>
          <w:sz w:val="24"/>
          <w:szCs w:val="24"/>
        </w:rPr>
        <w:t>з</w:t>
      </w:r>
      <w:r w:rsidRPr="008D4C00">
        <w:rPr>
          <w:rFonts w:ascii="Arial" w:hAnsi="Arial" w:cs="Arial"/>
          <w:sz w:val="24"/>
          <w:szCs w:val="24"/>
        </w:rPr>
        <w:t>нение атмосферы ртутью от антропогенных источников, но на количественной основе учесть долю природно обусловленной эндогенной газовой эмиссии. Экспериментал</w:t>
      </w:r>
      <w:r w:rsidRPr="008D4C00">
        <w:rPr>
          <w:rFonts w:ascii="Arial" w:hAnsi="Arial" w:cs="Arial"/>
          <w:sz w:val="24"/>
          <w:szCs w:val="24"/>
        </w:rPr>
        <w:t>ь</w:t>
      </w:r>
      <w:r w:rsidRPr="008D4C00">
        <w:rPr>
          <w:rFonts w:ascii="Arial" w:hAnsi="Arial" w:cs="Arial"/>
          <w:sz w:val="24"/>
          <w:szCs w:val="24"/>
        </w:rPr>
        <w:t>ные оценки природной эмиссии имеют предварительный характер, но они показывают, что развитый подход принципиально верен и, после распространения его на более ш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>рокий круг пород литосферы, позволит объективно оценить региональную изменч</w:t>
      </w:r>
      <w:r w:rsidRPr="008D4C00">
        <w:rPr>
          <w:rFonts w:ascii="Arial" w:hAnsi="Arial" w:cs="Arial"/>
          <w:sz w:val="24"/>
          <w:szCs w:val="24"/>
        </w:rPr>
        <w:t>и</w:t>
      </w:r>
      <w:r w:rsidRPr="008D4C00">
        <w:rPr>
          <w:rFonts w:ascii="Arial" w:hAnsi="Arial" w:cs="Arial"/>
          <w:sz w:val="24"/>
          <w:szCs w:val="24"/>
        </w:rPr>
        <w:t xml:space="preserve">вость потока газовой эмиссии и дать более обоснованные балансовые оценки. 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C5338A" w:rsidRDefault="0014266D" w:rsidP="00C5338A">
      <w:pPr>
        <w:spacing w:after="0"/>
        <w:ind w:firstLine="454"/>
        <w:jc w:val="right"/>
        <w:rPr>
          <w:rFonts w:ascii="Arial" w:hAnsi="Arial" w:cs="Arial"/>
          <w:i/>
          <w:sz w:val="24"/>
          <w:szCs w:val="24"/>
        </w:rPr>
      </w:pPr>
      <w:r w:rsidRPr="00C5338A">
        <w:rPr>
          <w:rFonts w:ascii="Arial" w:hAnsi="Arial" w:cs="Arial"/>
          <w:i/>
          <w:sz w:val="24"/>
          <w:szCs w:val="24"/>
        </w:rPr>
        <w:t xml:space="preserve">Работа выполнена по проекту РФФИ 02-05-65158. </w:t>
      </w:r>
    </w:p>
    <w:p w:rsidR="0014266D" w:rsidRPr="00C5338A" w:rsidRDefault="0014266D" w:rsidP="00C5338A">
      <w:pPr>
        <w:spacing w:after="0"/>
        <w:ind w:firstLine="454"/>
        <w:jc w:val="right"/>
        <w:rPr>
          <w:rFonts w:ascii="Arial" w:hAnsi="Arial" w:cs="Arial"/>
          <w:i/>
          <w:sz w:val="24"/>
          <w:szCs w:val="24"/>
        </w:rPr>
      </w:pPr>
      <w:r w:rsidRPr="00C5338A">
        <w:rPr>
          <w:rFonts w:ascii="Arial" w:hAnsi="Arial" w:cs="Arial"/>
          <w:i/>
          <w:sz w:val="24"/>
          <w:szCs w:val="24"/>
        </w:rPr>
        <w:t>Геологический факультет МГУ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9F1D1A">
        <w:rPr>
          <w:rFonts w:ascii="Arial" w:hAnsi="Arial" w:cs="Arial"/>
          <w:sz w:val="24"/>
          <w:szCs w:val="24"/>
        </w:rPr>
        <w:pict>
          <v:rect id="_x0000_i1032" style="width:0;height:1.5pt" o:hralign="center" o:hrstd="t" o:hr="t" fillcolor="gray" stroked="f"/>
        </w:pic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8D4C00" w:rsidRDefault="0014266D" w:rsidP="008D4C0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14266D" w:rsidRPr="00C5338A" w:rsidRDefault="0014266D" w:rsidP="008D4C00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5338A">
        <w:rPr>
          <w:rFonts w:ascii="Arial" w:hAnsi="Arial" w:cs="Arial"/>
          <w:b/>
          <w:sz w:val="24"/>
          <w:szCs w:val="24"/>
        </w:rPr>
        <w:t xml:space="preserve">Список литературы </w:t>
      </w:r>
    </w:p>
    <w:p w:rsidR="0014266D" w:rsidRPr="00C5338A" w:rsidRDefault="0014266D" w:rsidP="00C5338A">
      <w:pPr>
        <w:spacing w:before="120" w:after="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>1.  Алехин Ю.В., Ковальская Н.В., Минубаева З.И. Первые результаты экспериментального иссл</w:t>
      </w:r>
      <w:r w:rsidRPr="00C5338A">
        <w:rPr>
          <w:rFonts w:ascii="Arial" w:hAnsi="Arial" w:cs="Arial"/>
          <w:sz w:val="20"/>
          <w:szCs w:val="20"/>
        </w:rPr>
        <w:t>е</w:t>
      </w:r>
      <w:r w:rsidRPr="00C5338A">
        <w:rPr>
          <w:rFonts w:ascii="Arial" w:hAnsi="Arial" w:cs="Arial"/>
          <w:sz w:val="20"/>
          <w:szCs w:val="20"/>
        </w:rPr>
        <w:t>дования миграционных свойств нульвалентных форм ртути // Тез. докл. Еж. семинара по эксп. минерал</w:t>
      </w:r>
      <w:r w:rsidRPr="00C5338A">
        <w:rPr>
          <w:rFonts w:ascii="Arial" w:hAnsi="Arial" w:cs="Arial"/>
          <w:sz w:val="20"/>
          <w:szCs w:val="20"/>
        </w:rPr>
        <w:t>о</w:t>
      </w:r>
      <w:r w:rsidRPr="00C5338A">
        <w:rPr>
          <w:rFonts w:ascii="Arial" w:hAnsi="Arial" w:cs="Arial"/>
          <w:sz w:val="20"/>
          <w:szCs w:val="20"/>
        </w:rPr>
        <w:t xml:space="preserve">гии, петрологии и геохимии (ЕСЭМПГ – 2002), ОНТИ ГЕОХИ РАН, 2-3 </w:t>
      </w:r>
    </w:p>
    <w:p w:rsidR="0014266D" w:rsidRPr="00C5338A" w:rsidRDefault="0014266D" w:rsidP="00C5338A">
      <w:pPr>
        <w:spacing w:before="120" w:after="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>2.  Алехин Ю.В., Ковальская Н.В., Минубаева З.И. Применение методики осаждения ртути на кл</w:t>
      </w:r>
      <w:r w:rsidRPr="00C5338A">
        <w:rPr>
          <w:rFonts w:ascii="Arial" w:hAnsi="Arial" w:cs="Arial"/>
          <w:sz w:val="20"/>
          <w:szCs w:val="20"/>
        </w:rPr>
        <w:t>и</w:t>
      </w:r>
      <w:r w:rsidRPr="00C5338A">
        <w:rPr>
          <w:rFonts w:ascii="Arial" w:hAnsi="Arial" w:cs="Arial"/>
          <w:sz w:val="20"/>
          <w:szCs w:val="20"/>
        </w:rPr>
        <w:t xml:space="preserve">ноптилолите при экспериментальных исследованиях диффузионной и фильтрационной миграции ее подвижных форм. // Сб. Прикладная геохимия, вып.4, “Аналитические исследования”, 2003, М., ИМГРЭ, 289-302 </w:t>
      </w:r>
    </w:p>
    <w:p w:rsidR="0014266D" w:rsidRPr="00C5338A" w:rsidRDefault="0014266D" w:rsidP="00C5338A">
      <w:pPr>
        <w:spacing w:before="120" w:after="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>3.  Алехин Ю.В., Ковальская Н.В., Лапицкий С.А., Минубаева З.И., Пальяруло П. Экспериментальное изучение диффузионной и фильтрационной миграции подвижных форм ртути и потока холодной энд</w:t>
      </w:r>
      <w:r w:rsidRPr="00C5338A">
        <w:rPr>
          <w:rFonts w:ascii="Arial" w:hAnsi="Arial" w:cs="Arial"/>
          <w:sz w:val="20"/>
          <w:szCs w:val="20"/>
        </w:rPr>
        <w:t>о</w:t>
      </w:r>
      <w:r w:rsidRPr="00C5338A">
        <w:rPr>
          <w:rFonts w:ascii="Arial" w:hAnsi="Arial" w:cs="Arial"/>
          <w:sz w:val="20"/>
          <w:szCs w:val="20"/>
        </w:rPr>
        <w:t>генной эмиссии. // Электр. журн. “Вестник Отдел</w:t>
      </w:r>
      <w:r w:rsidRPr="00C5338A">
        <w:rPr>
          <w:rFonts w:ascii="Arial" w:hAnsi="Arial" w:cs="Arial"/>
          <w:sz w:val="20"/>
          <w:szCs w:val="20"/>
        </w:rPr>
        <w:t>е</w:t>
      </w:r>
      <w:r w:rsidRPr="00C5338A">
        <w:rPr>
          <w:rFonts w:ascii="Arial" w:hAnsi="Arial" w:cs="Arial"/>
          <w:sz w:val="20"/>
          <w:szCs w:val="20"/>
        </w:rPr>
        <w:t xml:space="preserve">ния наук о Земле РАН” №1(21), “Информационный бюллетень”, М., 2003 </w:t>
      </w:r>
    </w:p>
    <w:p w:rsidR="0014266D" w:rsidRPr="00C5338A" w:rsidRDefault="0014266D" w:rsidP="00C5338A">
      <w:pPr>
        <w:spacing w:before="120" w:after="0"/>
        <w:ind w:firstLine="454"/>
        <w:jc w:val="both"/>
        <w:rPr>
          <w:rFonts w:ascii="Arial" w:hAnsi="Arial" w:cs="Arial"/>
          <w:sz w:val="20"/>
          <w:szCs w:val="20"/>
          <w:lang w:val="en-GB"/>
        </w:rPr>
      </w:pPr>
      <w:r w:rsidRPr="00C5338A">
        <w:rPr>
          <w:rFonts w:ascii="Arial" w:hAnsi="Arial" w:cs="Arial"/>
          <w:sz w:val="20"/>
          <w:szCs w:val="20"/>
          <w:lang w:val="en-GB"/>
        </w:rPr>
        <w:t xml:space="preserve">URL: http://www.scgis.ru/russian/cp1251/h_dgggms/1-2003/informbul-1_2003/hydroterm-5.pdf </w:t>
      </w:r>
    </w:p>
    <w:p w:rsidR="0014266D" w:rsidRPr="00C5338A" w:rsidRDefault="0014266D" w:rsidP="00C5338A">
      <w:pPr>
        <w:spacing w:before="120" w:after="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  <w:lang w:val="en-GB"/>
        </w:rPr>
        <w:t xml:space="preserve">4.  Pirrone N., Keeler G.J. and Nriagu J.O. Regional differences in worldwide emission of mercury to the atmosphere. </w:t>
      </w:r>
      <w:r w:rsidRPr="00C5338A">
        <w:rPr>
          <w:rFonts w:ascii="Arial" w:hAnsi="Arial" w:cs="Arial"/>
          <w:sz w:val="20"/>
          <w:szCs w:val="20"/>
        </w:rPr>
        <w:t xml:space="preserve">Atm. Environ., vol. 30, No 17, 1996, pp. 2981-2987. </w:t>
      </w: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14266D" w:rsidRPr="00C5338A" w:rsidRDefault="0014266D" w:rsidP="008D4C0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14266D" w:rsidRDefault="0014266D" w:rsidP="008D4C0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>См. также</w:t>
      </w:r>
    </w:p>
    <w:p w:rsidR="0014266D" w:rsidRPr="00C5338A" w:rsidRDefault="0014266D" w:rsidP="00C5338A">
      <w:pPr>
        <w:spacing w:after="12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ab/>
        <w:t>Новейшая сдвиговая тектоника осадочных бассейнов: тектонофизический и флюидодинамич</w:t>
      </w:r>
      <w:r w:rsidRPr="00C5338A">
        <w:rPr>
          <w:rFonts w:ascii="Arial" w:hAnsi="Arial" w:cs="Arial"/>
          <w:sz w:val="20"/>
          <w:szCs w:val="20"/>
        </w:rPr>
        <w:t>е</w:t>
      </w:r>
      <w:r w:rsidRPr="00C5338A">
        <w:rPr>
          <w:rFonts w:ascii="Arial" w:hAnsi="Arial" w:cs="Arial"/>
          <w:sz w:val="20"/>
          <w:szCs w:val="20"/>
        </w:rPr>
        <w:t>ский аспекты (в связи с нефтегазоносностью)</w:t>
      </w:r>
      <w:r>
        <w:rPr>
          <w:rFonts w:ascii="Arial" w:hAnsi="Arial" w:cs="Arial"/>
          <w:sz w:val="20"/>
          <w:szCs w:val="20"/>
        </w:rPr>
        <w:t>;</w:t>
      </w:r>
    </w:p>
    <w:p w:rsidR="0014266D" w:rsidRPr="00C5338A" w:rsidRDefault="0014266D" w:rsidP="00C5338A">
      <w:pPr>
        <w:spacing w:after="12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ab/>
        <w:t>Новейшая сдвиговая тектоника осадочных бассейнов: тектонофизический и флюидодинамич</w:t>
      </w:r>
      <w:r w:rsidRPr="00C5338A">
        <w:rPr>
          <w:rFonts w:ascii="Arial" w:hAnsi="Arial" w:cs="Arial"/>
          <w:sz w:val="20"/>
          <w:szCs w:val="20"/>
        </w:rPr>
        <w:t>е</w:t>
      </w:r>
      <w:r w:rsidRPr="00C5338A">
        <w:rPr>
          <w:rFonts w:ascii="Arial" w:hAnsi="Arial" w:cs="Arial"/>
          <w:sz w:val="20"/>
          <w:szCs w:val="20"/>
        </w:rPr>
        <w:t>ский аспекты (в связи с нефтегазоносностью): Глава 3. Структурно-кинематические парагенезы и модели зон сдвигания</w:t>
      </w:r>
      <w:r>
        <w:rPr>
          <w:rFonts w:ascii="Arial" w:hAnsi="Arial" w:cs="Arial"/>
          <w:sz w:val="20"/>
          <w:szCs w:val="20"/>
        </w:rPr>
        <w:t>;</w:t>
      </w:r>
    </w:p>
    <w:p w:rsidR="0014266D" w:rsidRPr="00C5338A" w:rsidRDefault="0014266D" w:rsidP="00C5338A">
      <w:pPr>
        <w:spacing w:after="12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ab/>
        <w:t>Семёнов А.С. "Электроразведка методом естественного электрического поля": ОГЛАВЛЕНИЕ</w:t>
      </w:r>
      <w:r>
        <w:rPr>
          <w:rFonts w:ascii="Arial" w:hAnsi="Arial" w:cs="Arial"/>
          <w:sz w:val="20"/>
          <w:szCs w:val="20"/>
        </w:rPr>
        <w:t>;</w:t>
      </w:r>
    </w:p>
    <w:p w:rsidR="0014266D" w:rsidRPr="00C5338A" w:rsidRDefault="0014266D" w:rsidP="00C5338A">
      <w:pPr>
        <w:spacing w:after="12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ab/>
        <w:t>Моделирование контаминационных процессов. Часть 2-я лекций курса "Физико-химическая ги</w:t>
      </w:r>
      <w:r w:rsidRPr="00C5338A">
        <w:rPr>
          <w:rFonts w:ascii="Arial" w:hAnsi="Arial" w:cs="Arial"/>
          <w:sz w:val="20"/>
          <w:szCs w:val="20"/>
        </w:rPr>
        <w:t>д</w:t>
      </w:r>
      <w:r w:rsidRPr="00C5338A">
        <w:rPr>
          <w:rFonts w:ascii="Arial" w:hAnsi="Arial" w:cs="Arial"/>
          <w:sz w:val="20"/>
          <w:szCs w:val="20"/>
        </w:rPr>
        <w:t>рогеодинамика": Предисловие</w:t>
      </w:r>
      <w:r>
        <w:rPr>
          <w:rFonts w:ascii="Arial" w:hAnsi="Arial" w:cs="Arial"/>
          <w:sz w:val="20"/>
          <w:szCs w:val="20"/>
        </w:rPr>
        <w:t>;</w:t>
      </w:r>
    </w:p>
    <w:p w:rsidR="0014266D" w:rsidRPr="00C5338A" w:rsidRDefault="0014266D" w:rsidP="00C5338A">
      <w:pPr>
        <w:spacing w:after="12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ab/>
        <w:t>ЕЖЕГОДНЫЙ СЕМИНАР ПО ЭКСПЕРИМЕНТАЛЬНОЙ МИНЕРАЛОГИИ, ПЕТРОЛОГИИ И ГЕ</w:t>
      </w:r>
      <w:r w:rsidRPr="00C5338A">
        <w:rPr>
          <w:rFonts w:ascii="Arial" w:hAnsi="Arial" w:cs="Arial"/>
          <w:sz w:val="20"/>
          <w:szCs w:val="20"/>
        </w:rPr>
        <w:t>О</w:t>
      </w:r>
      <w:r w:rsidRPr="00C5338A">
        <w:rPr>
          <w:rFonts w:ascii="Arial" w:hAnsi="Arial" w:cs="Arial"/>
          <w:sz w:val="20"/>
          <w:szCs w:val="20"/>
        </w:rPr>
        <w:t>ХИМИИ (ЕСЭМПГ-2006).</w:t>
      </w:r>
      <w:r>
        <w:rPr>
          <w:rFonts w:ascii="Arial" w:hAnsi="Arial" w:cs="Arial"/>
          <w:sz w:val="20"/>
          <w:szCs w:val="20"/>
        </w:rPr>
        <w:t xml:space="preserve"> </w:t>
      </w:r>
      <w:r w:rsidRPr="00C5338A">
        <w:rPr>
          <w:rFonts w:ascii="Arial" w:hAnsi="Arial" w:cs="Arial"/>
          <w:sz w:val="20"/>
          <w:szCs w:val="20"/>
        </w:rPr>
        <w:t>Программа семинара. 18-19 апреля 2006 г.</w:t>
      </w:r>
      <w:r>
        <w:rPr>
          <w:rFonts w:ascii="Arial" w:hAnsi="Arial" w:cs="Arial"/>
          <w:sz w:val="20"/>
          <w:szCs w:val="20"/>
        </w:rPr>
        <w:t>;</w:t>
      </w:r>
    </w:p>
    <w:p w:rsidR="0014266D" w:rsidRPr="00C5338A" w:rsidRDefault="0014266D" w:rsidP="00C5338A">
      <w:pPr>
        <w:spacing w:after="12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ab/>
        <w:t>Моделирование контаминационных процессов. Часть 2-я лекций курса "Физико-химическая ги</w:t>
      </w:r>
      <w:r w:rsidRPr="00C5338A">
        <w:rPr>
          <w:rFonts w:ascii="Arial" w:hAnsi="Arial" w:cs="Arial"/>
          <w:sz w:val="20"/>
          <w:szCs w:val="20"/>
        </w:rPr>
        <w:t>д</w:t>
      </w:r>
      <w:r w:rsidRPr="00C5338A">
        <w:rPr>
          <w:rFonts w:ascii="Arial" w:hAnsi="Arial" w:cs="Arial"/>
          <w:sz w:val="20"/>
          <w:szCs w:val="20"/>
        </w:rPr>
        <w:t>рогеодинамика": 3. Экспериментальные определения геомиграционных параметров</w:t>
      </w:r>
      <w:r>
        <w:rPr>
          <w:rFonts w:ascii="Arial" w:hAnsi="Arial" w:cs="Arial"/>
          <w:sz w:val="20"/>
          <w:szCs w:val="20"/>
        </w:rPr>
        <w:t>;</w:t>
      </w:r>
    </w:p>
    <w:p w:rsidR="0014266D" w:rsidRPr="00C5338A" w:rsidRDefault="0014266D" w:rsidP="00C5338A">
      <w:pPr>
        <w:spacing w:after="120"/>
        <w:ind w:firstLine="454"/>
        <w:jc w:val="both"/>
        <w:rPr>
          <w:rFonts w:ascii="Arial" w:hAnsi="Arial" w:cs="Arial"/>
          <w:sz w:val="20"/>
          <w:szCs w:val="20"/>
        </w:rPr>
      </w:pPr>
      <w:r w:rsidRPr="00C5338A">
        <w:rPr>
          <w:rFonts w:ascii="Arial" w:hAnsi="Arial" w:cs="Arial"/>
          <w:sz w:val="20"/>
          <w:szCs w:val="20"/>
        </w:rPr>
        <w:tab/>
        <w:t>Учебник по экспериментальной и технической петрологии: фильтрационный э</w:t>
      </w:r>
      <w:r w:rsidRPr="00C5338A">
        <w:rPr>
          <w:rFonts w:ascii="Arial" w:hAnsi="Arial" w:cs="Arial"/>
          <w:sz w:val="20"/>
          <w:szCs w:val="20"/>
        </w:rPr>
        <w:t>ф</w:t>
      </w:r>
      <w:r w:rsidRPr="00C5338A">
        <w:rPr>
          <w:rFonts w:ascii="Arial" w:hAnsi="Arial" w:cs="Arial"/>
          <w:sz w:val="20"/>
          <w:szCs w:val="20"/>
        </w:rPr>
        <w:t>фект</w:t>
      </w:r>
      <w:r>
        <w:rPr>
          <w:rFonts w:ascii="Arial" w:hAnsi="Arial" w:cs="Arial"/>
          <w:sz w:val="20"/>
          <w:szCs w:val="20"/>
        </w:rPr>
        <w:t>.</w:t>
      </w:r>
    </w:p>
    <w:sectPr w:rsidR="0014266D" w:rsidRPr="00C5338A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4266D"/>
    <w:rsid w:val="001A1CE7"/>
    <w:rsid w:val="00217E38"/>
    <w:rsid w:val="002C5427"/>
    <w:rsid w:val="003D2523"/>
    <w:rsid w:val="00474A8E"/>
    <w:rsid w:val="004C3A93"/>
    <w:rsid w:val="004E7757"/>
    <w:rsid w:val="005067A0"/>
    <w:rsid w:val="00514A11"/>
    <w:rsid w:val="00533160"/>
    <w:rsid w:val="00682751"/>
    <w:rsid w:val="007C02DB"/>
    <w:rsid w:val="008C4ABB"/>
    <w:rsid w:val="008D4C00"/>
    <w:rsid w:val="009A04C6"/>
    <w:rsid w:val="009F1D1A"/>
    <w:rsid w:val="00A86F82"/>
    <w:rsid w:val="00C2337F"/>
    <w:rsid w:val="00C5338A"/>
    <w:rsid w:val="00C623FD"/>
    <w:rsid w:val="00D2432A"/>
    <w:rsid w:val="00D350BD"/>
    <w:rsid w:val="00E749DB"/>
    <w:rsid w:val="00EA3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C5338A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1220</TotalTime>
  <Pages>9</Pages>
  <Words>3523</Words>
  <Characters>20082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по физике</dc:title>
  <dc:subject/>
  <dc:creator>stas</dc:creator>
  <cp:keywords/>
  <dc:description/>
  <cp:lastModifiedBy>user</cp:lastModifiedBy>
  <cp:revision>6</cp:revision>
  <dcterms:created xsi:type="dcterms:W3CDTF">2016-02-27T00:02:00Z</dcterms:created>
  <dcterms:modified xsi:type="dcterms:W3CDTF">2016-02-27T20:19:00Z</dcterms:modified>
</cp:coreProperties>
</file>