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100" w:rsidRPr="00722100" w:rsidRDefault="00722100" w:rsidP="00722100">
      <w:pPr>
        <w:spacing w:after="225" w:line="600" w:lineRule="atLeast"/>
        <w:outlineLvl w:val="1"/>
        <w:rPr>
          <w:rFonts w:ascii="Times New Roman" w:eastAsia="Times New Roman" w:hAnsi="Times New Roman" w:cs="Times New Roman"/>
          <w:b/>
          <w:bCs/>
          <w:color w:val="000000" w:themeColor="text1"/>
          <w:sz w:val="24"/>
          <w:szCs w:val="24"/>
          <w:lang w:eastAsia="ru-RU"/>
        </w:rPr>
      </w:pPr>
      <w:r w:rsidRPr="00722100">
        <w:rPr>
          <w:rFonts w:ascii="Times New Roman" w:eastAsia="Times New Roman" w:hAnsi="Times New Roman" w:cs="Times New Roman"/>
          <w:b/>
          <w:bCs/>
          <w:color w:val="000000" w:themeColor="text1"/>
          <w:sz w:val="24"/>
          <w:szCs w:val="24"/>
          <w:lang w:eastAsia="ru-RU"/>
        </w:rPr>
        <w:t>Preparation of salicylic acid</w:t>
      </w:r>
    </w:p>
    <w:p w:rsidR="00722100" w:rsidRDefault="00722100" w:rsidP="00722100">
      <w:pPr>
        <w:pStyle w:val="a3"/>
        <w:spacing w:before="0" w:beforeAutospacing="0" w:after="150" w:afterAutospacing="0"/>
        <w:jc w:val="both"/>
        <w:rPr>
          <w:rFonts w:ascii="Helvetica" w:hAnsi="Helvetica" w:cs="Helvetica"/>
          <w:color w:val="363636"/>
          <w:sz w:val="21"/>
          <w:szCs w:val="21"/>
        </w:rPr>
      </w:pPr>
      <w:r>
        <w:rPr>
          <w:rFonts w:ascii="Helvetica" w:hAnsi="Helvetica" w:cs="Helvetica"/>
          <w:noProof/>
          <w:color w:val="363636"/>
          <w:sz w:val="21"/>
          <w:szCs w:val="21"/>
        </w:rPr>
        <w:drawing>
          <wp:inline distT="0" distB="0" distL="0" distR="0">
            <wp:extent cx="4436252" cy="773035"/>
            <wp:effectExtent l="19050" t="0" r="2398"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4435802" cy="772957"/>
                    </a:xfrm>
                    <a:prstGeom prst="rect">
                      <a:avLst/>
                    </a:prstGeom>
                    <a:noFill/>
                    <a:ln w="9525">
                      <a:noFill/>
                      <a:miter lim="800000"/>
                      <a:headEnd/>
                      <a:tailEnd/>
                    </a:ln>
                  </pic:spPr>
                </pic:pic>
              </a:graphicData>
            </a:graphic>
          </wp:inline>
        </w:drawing>
      </w:r>
    </w:p>
    <w:p w:rsidR="00722100" w:rsidRPr="00722100" w:rsidRDefault="00722100" w:rsidP="00722100">
      <w:pPr>
        <w:pStyle w:val="a3"/>
        <w:spacing w:before="0" w:beforeAutospacing="0" w:after="150" w:afterAutospacing="0"/>
        <w:jc w:val="both"/>
        <w:rPr>
          <w:color w:val="000000" w:themeColor="text1"/>
          <w:lang w:val="en-US"/>
        </w:rPr>
      </w:pPr>
      <w:r w:rsidRPr="00722100">
        <w:rPr>
          <w:color w:val="000000" w:themeColor="text1"/>
          <w:lang w:val="en-US"/>
        </w:rPr>
        <w:t>10 g of pure </w:t>
      </w:r>
      <w:hyperlink r:id="rId5" w:history="1">
        <w:r w:rsidRPr="00722100">
          <w:rPr>
            <w:rStyle w:val="a4"/>
            <w:color w:val="000000" w:themeColor="text1"/>
            <w:u w:val="none"/>
            <w:lang w:val="en-US"/>
          </w:rPr>
          <w:t>sodium hydroxide</w:t>
        </w:r>
      </w:hyperlink>
      <w:r w:rsidRPr="00722100">
        <w:rPr>
          <w:color w:val="000000" w:themeColor="text1"/>
          <w:lang w:val="en-US"/>
        </w:rPr>
        <w:t xml:space="preserve"> are dissolved in 15 ml of water in a metal basin, and, with stirring, 23 g of </w:t>
      </w:r>
      <w:r w:rsidR="00B65180" w:rsidRPr="00722100">
        <w:rPr>
          <w:color w:val="000000" w:themeColor="text1"/>
          <w:lang w:val="en-US"/>
        </w:rPr>
        <w:t>crystallized</w:t>
      </w:r>
      <w:r w:rsidRPr="00722100">
        <w:rPr>
          <w:color w:val="000000" w:themeColor="text1"/>
          <w:lang w:val="en-US"/>
        </w:rPr>
        <w:t> </w:t>
      </w:r>
      <w:hyperlink r:id="rId6" w:history="1">
        <w:r w:rsidRPr="00722100">
          <w:rPr>
            <w:rStyle w:val="a4"/>
            <w:color w:val="000000" w:themeColor="text1"/>
            <w:u w:val="none"/>
            <w:lang w:val="en-US"/>
          </w:rPr>
          <w:t>phenol</w:t>
        </w:r>
      </w:hyperlink>
      <w:r w:rsidRPr="00722100">
        <w:rPr>
          <w:color w:val="000000" w:themeColor="text1"/>
          <w:lang w:val="en-US"/>
        </w:rPr>
        <w:t xml:space="preserve"> are gradually added. The solution is then heated over a small free flame, with continual stirring, until a crystalline film forms on the surface of the liquid. Evaporation is continued by heating with a luminous flame kept in constant motion. During the process the basin should be securely clamped. A caked mass is obtained which is crushed at intervals with a pestle. When the mass no longer cakes together, it is transferred to a dry warm mortar and </w:t>
      </w:r>
      <w:r w:rsidR="00B65180" w:rsidRPr="00722100">
        <w:rPr>
          <w:color w:val="000000" w:themeColor="text1"/>
          <w:lang w:val="en-US"/>
        </w:rPr>
        <w:t>pulverized</w:t>
      </w:r>
      <w:r w:rsidRPr="00722100">
        <w:rPr>
          <w:color w:val="000000" w:themeColor="text1"/>
          <w:lang w:val="en-US"/>
        </w:rPr>
        <w:t xml:space="preserve"> as it cools. The powder, while still warm, is quickly returned to the basin, and heated as before with thorough stirring, until it is dry enough to form dust. It is then immediately placed in a 250 ml the flask arranged for distillation, where it is heated in a bath to 140° C in a fairly rapid current of dry hydrogen obtained from a Kipp generator. When in about 1 hour no more moisture condenses in the neck of the condenser of distillation apparatus, and the body of the distillation apparatus appears dry, the mass is allowed to cool in the current of hydrogen and then, while still warm, broken up, removed, quickly powdere</w:t>
      </w:r>
      <w:r w:rsidR="00B65180">
        <w:rPr>
          <w:color w:val="000000" w:themeColor="text1"/>
          <w:lang w:val="en-US"/>
        </w:rPr>
        <w:t>d in a mortar, and replaced. Th</w:t>
      </w:r>
      <w:r w:rsidR="00B65180" w:rsidRPr="00B65180">
        <w:rPr>
          <w:color w:val="000000" w:themeColor="text1"/>
          <w:lang w:val="en-US"/>
        </w:rPr>
        <w:t>e</w:t>
      </w:r>
      <w:r w:rsidRPr="00722100">
        <w:rPr>
          <w:color w:val="000000" w:themeColor="text1"/>
          <w:lang w:val="en-US"/>
        </w:rPr>
        <w:t xml:space="preserve"> object of the above operations is to obtain perfectly dry, uncharred, well-powdered sodium phenate, for it is on these factors that the success of the whole preparation depends. A moderate stream of </w:t>
      </w:r>
      <w:hyperlink r:id="rId7" w:history="1">
        <w:r w:rsidRPr="00722100">
          <w:rPr>
            <w:rStyle w:val="a4"/>
            <w:color w:val="000000" w:themeColor="text1"/>
            <w:u w:val="none"/>
            <w:lang w:val="en-US"/>
          </w:rPr>
          <w:t>carbon dioxide</w:t>
        </w:r>
      </w:hyperlink>
      <w:r w:rsidRPr="00722100">
        <w:rPr>
          <w:color w:val="000000" w:themeColor="text1"/>
          <w:lang w:val="en-US"/>
        </w:rPr>
        <w:t>, dried through two wash bottles of conc. </w:t>
      </w:r>
      <w:proofErr w:type="spellStart"/>
      <w:r w:rsidR="00631B2A" w:rsidRPr="00722100">
        <w:rPr>
          <w:color w:val="000000" w:themeColor="text1"/>
        </w:rPr>
        <w:fldChar w:fldCharType="begin"/>
      </w:r>
      <w:r w:rsidRPr="00722100">
        <w:rPr>
          <w:color w:val="000000" w:themeColor="text1"/>
          <w:lang w:val="en-US"/>
        </w:rPr>
        <w:instrText xml:space="preserve"> HYPERLINK "http://www.prepchem.com/synthesis-of-sulfuric-acid/" </w:instrText>
      </w:r>
      <w:r w:rsidR="00631B2A" w:rsidRPr="00722100">
        <w:rPr>
          <w:color w:val="000000" w:themeColor="text1"/>
        </w:rPr>
        <w:fldChar w:fldCharType="separate"/>
      </w:r>
      <w:proofErr w:type="spellEnd"/>
      <w:r w:rsidRPr="00722100">
        <w:rPr>
          <w:rStyle w:val="a4"/>
          <w:color w:val="000000" w:themeColor="text1"/>
          <w:u w:val="none"/>
          <w:lang w:val="en-US"/>
        </w:rPr>
        <w:t>sulphuric acid</w:t>
      </w:r>
      <w:r w:rsidR="00631B2A" w:rsidRPr="00722100">
        <w:rPr>
          <w:color w:val="000000" w:themeColor="text1"/>
        </w:rPr>
        <w:fldChar w:fldCharType="end"/>
      </w:r>
      <w:r w:rsidRPr="00722100">
        <w:rPr>
          <w:color w:val="000000" w:themeColor="text1"/>
          <w:lang w:val="en-US"/>
        </w:rPr>
        <w:t>, is passed over the surface of the sodium phenate by means of a bent tube fixed through the distillation apparatus, and terminating 1 cm. above the substance. The distillation apparatus is immersed as far as possible in the oil bath, and the temperature gradually raised to 110° C and kept there for 1 hour. The temperature is then raised to 190° C in 4 hours, and on to 200° C, where it is kept for 2 hours. During the whole, operation, the mass is stirred frequently, and the distillation apparatus also shaken from time to time, to ensure that fresh surfaces shall be exposed to the action of the gas. During the heating </w:t>
      </w:r>
      <w:hyperlink r:id="rId8" w:history="1">
        <w:r w:rsidRPr="00722100">
          <w:rPr>
            <w:rStyle w:val="a4"/>
            <w:color w:val="000000" w:themeColor="text1"/>
            <w:u w:val="none"/>
            <w:lang w:val="en-US"/>
          </w:rPr>
          <w:t>phenol</w:t>
        </w:r>
      </w:hyperlink>
      <w:r w:rsidRPr="00722100">
        <w:rPr>
          <w:color w:val="000000" w:themeColor="text1"/>
          <w:lang w:val="en-US"/>
        </w:rPr>
        <w:t xml:space="preserve"> distils and collects in the neck of the condenser while the contents darken in </w:t>
      </w:r>
      <w:r w:rsidR="00B65180" w:rsidRPr="00722100">
        <w:rPr>
          <w:color w:val="000000" w:themeColor="text1"/>
          <w:lang w:val="en-US"/>
        </w:rPr>
        <w:t>color</w:t>
      </w:r>
      <w:r w:rsidRPr="00722100">
        <w:rPr>
          <w:color w:val="000000" w:themeColor="text1"/>
          <w:lang w:val="en-US"/>
        </w:rPr>
        <w:t>. On cooling, the </w:t>
      </w:r>
      <w:hyperlink r:id="rId9" w:history="1">
        <w:r w:rsidRPr="00722100">
          <w:rPr>
            <w:rStyle w:val="a4"/>
            <w:color w:val="000000" w:themeColor="text1"/>
            <w:u w:val="none"/>
            <w:lang w:val="en-US"/>
          </w:rPr>
          <w:t>phenol</w:t>
        </w:r>
      </w:hyperlink>
      <w:r w:rsidRPr="00722100">
        <w:rPr>
          <w:color w:val="000000" w:themeColor="text1"/>
          <w:lang w:val="en-US"/>
        </w:rPr>
        <w:t xml:space="preserve"> is melted by application of a flame to the outside of the neck and allowed to flow away; then the crude reaction product is shaken out through into a large beaker, and the distillation flask washed out several times with warm water. The whole is boiled, filtered if necessary, and treated with 100 ml conc. hydrochloric acid, cooled for some hours in ice-water, and precipitation of the crude salicylic acid facilitated by rubbing the sides of the vessel with a glass rod. The precipitate is filtered off at the pump, washed with a little cold water, and dried on a porous plate. The filtrate is evaporated to low bulk, and a little more acid obtained. It may be purified by recrystallizing from boiling water with the addition of activated charcoal, but it is better to distil the crude acid with superheated steam. The crystals are thoroughly dried, first on a porous plate, and then by heating on a water bath. They are placed in a short-necked flask and heated in an oil bath of 170° C. Then connection is made to the steam generator and a moderate current of steam at 175° C pressed in. It is important that the steam generator be not connected to the flask till the oil bath </w:t>
      </w:r>
      <w:r w:rsidR="00B65180">
        <w:rPr>
          <w:color w:val="000000" w:themeColor="text1"/>
          <w:lang w:val="en-US"/>
        </w:rPr>
        <w:t>and steam have the</w:t>
      </w:r>
      <w:r w:rsidRPr="00722100">
        <w:rPr>
          <w:color w:val="000000" w:themeColor="text1"/>
          <w:lang w:val="en-US"/>
        </w:rPr>
        <w:t xml:space="preserve"> same temperature. A wide condenser is used (width of inner tube 3 cm; of outer jacket 6 cm; length of latter 80 cm.), otherwise the condensing acid soon blocks it. The connecting tube between the flask and condenser must be 2.5 cm wide, and as short as possible. The side-piece should be near the bulb. When no more salicylic acid distils, the crystals in the condenser are added to the distillate, </w:t>
      </w:r>
      <w:r w:rsidR="00B65180" w:rsidRPr="00722100">
        <w:rPr>
          <w:color w:val="000000" w:themeColor="text1"/>
          <w:lang w:val="en-US"/>
        </w:rPr>
        <w:t>which</w:t>
      </w:r>
      <w:r w:rsidRPr="00722100">
        <w:rPr>
          <w:color w:val="000000" w:themeColor="text1"/>
          <w:lang w:val="en-US"/>
        </w:rPr>
        <w:t xml:space="preserve"> is boiled and filtered. The salicylic acid separates on cooling. </w:t>
      </w:r>
      <w:r w:rsidR="00B65180" w:rsidRPr="00722100">
        <w:rPr>
          <w:color w:val="000000" w:themeColor="text1"/>
          <w:lang w:val="en-US"/>
        </w:rPr>
        <w:t>The yield of salicylic acid is 60% theoretical, allowing for </w:t>
      </w:r>
      <w:hyperlink r:id="rId10" w:history="1">
        <w:r w:rsidR="00B65180" w:rsidRPr="00722100">
          <w:rPr>
            <w:rStyle w:val="a4"/>
            <w:color w:val="000000" w:themeColor="text1"/>
            <w:u w:val="none"/>
            <w:lang w:val="en-US"/>
          </w:rPr>
          <w:t>phenol</w:t>
        </w:r>
      </w:hyperlink>
      <w:r w:rsidR="00B65180">
        <w:rPr>
          <w:color w:val="000000" w:themeColor="text1"/>
          <w:lang w:val="en-US"/>
        </w:rPr>
        <w:t xml:space="preserve"> </w:t>
      </w:r>
      <w:r w:rsidR="00B65180" w:rsidRPr="00722100">
        <w:rPr>
          <w:color w:val="000000" w:themeColor="text1"/>
          <w:lang w:val="en-US"/>
        </w:rPr>
        <w:t>recovered (10 g). Colorless</w:t>
      </w:r>
      <w:r w:rsidRPr="00722100">
        <w:rPr>
          <w:color w:val="000000" w:themeColor="text1"/>
          <w:lang w:val="en-US"/>
        </w:rPr>
        <w:t xml:space="preserve"> needles; soluble in alcohol and hot water;</w:t>
      </w:r>
    </w:p>
    <w:p w:rsidR="008F3DD7" w:rsidRPr="00722100" w:rsidRDefault="00722100" w:rsidP="00722100">
      <w:pPr>
        <w:pStyle w:val="a3"/>
        <w:spacing w:before="0" w:beforeAutospacing="0" w:after="150" w:afterAutospacing="0"/>
        <w:jc w:val="both"/>
        <w:rPr>
          <w:color w:val="000000" w:themeColor="text1"/>
          <w:lang w:val="en-US"/>
        </w:rPr>
      </w:pPr>
      <w:r w:rsidRPr="00722100">
        <w:rPr>
          <w:color w:val="000000" w:themeColor="text1"/>
          <w:lang w:val="en-US"/>
        </w:rPr>
        <w:t>Systematic organic chemistry, by W. M. Cumming, 117-118, 1937.</w:t>
      </w:r>
    </w:p>
    <w:sectPr w:rsidR="008F3DD7" w:rsidRPr="00722100" w:rsidSect="008F3D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22100"/>
    <w:rsid w:val="00464374"/>
    <w:rsid w:val="00631B2A"/>
    <w:rsid w:val="00722100"/>
    <w:rsid w:val="008F3DD7"/>
    <w:rsid w:val="00B651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DD7"/>
  </w:style>
  <w:style w:type="paragraph" w:styleId="2">
    <w:name w:val="heading 2"/>
    <w:basedOn w:val="a"/>
    <w:link w:val="20"/>
    <w:uiPriority w:val="9"/>
    <w:qFormat/>
    <w:rsid w:val="0072210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221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22100"/>
    <w:rPr>
      <w:color w:val="0000FF"/>
      <w:u w:val="single"/>
    </w:rPr>
  </w:style>
  <w:style w:type="paragraph" w:styleId="a5">
    <w:name w:val="Balloon Text"/>
    <w:basedOn w:val="a"/>
    <w:link w:val="a6"/>
    <w:uiPriority w:val="99"/>
    <w:semiHidden/>
    <w:unhideWhenUsed/>
    <w:rsid w:val="0072210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22100"/>
    <w:rPr>
      <w:rFonts w:ascii="Tahoma" w:hAnsi="Tahoma" w:cs="Tahoma"/>
      <w:sz w:val="16"/>
      <w:szCs w:val="16"/>
    </w:rPr>
  </w:style>
  <w:style w:type="character" w:customStyle="1" w:styleId="20">
    <w:name w:val="Заголовок 2 Знак"/>
    <w:basedOn w:val="a0"/>
    <w:link w:val="2"/>
    <w:uiPriority w:val="9"/>
    <w:rsid w:val="00722100"/>
    <w:rPr>
      <w:rFonts w:ascii="Times New Roman" w:eastAsia="Times New Roman" w:hAnsi="Times New Roman" w:cs="Times New Roman"/>
      <w:b/>
      <w:bCs/>
      <w:sz w:val="36"/>
      <w:szCs w:val="36"/>
      <w:lang w:eastAsia="ru-RU"/>
    </w:rPr>
  </w:style>
</w:styles>
</file>

<file path=word/webSettings.xml><?xml version="1.0" encoding="utf-8"?>
<w:webSettings xmlns:r="http://schemas.openxmlformats.org/officeDocument/2006/relationships" xmlns:w="http://schemas.openxmlformats.org/wordprocessingml/2006/main">
  <w:divs>
    <w:div w:id="696351208">
      <w:bodyDiv w:val="1"/>
      <w:marLeft w:val="0"/>
      <w:marRight w:val="0"/>
      <w:marTop w:val="0"/>
      <w:marBottom w:val="0"/>
      <w:divBdr>
        <w:top w:val="none" w:sz="0" w:space="0" w:color="auto"/>
        <w:left w:val="none" w:sz="0" w:space="0" w:color="auto"/>
        <w:bottom w:val="none" w:sz="0" w:space="0" w:color="auto"/>
        <w:right w:val="none" w:sz="0" w:space="0" w:color="auto"/>
      </w:divBdr>
    </w:div>
    <w:div w:id="82039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epchem.com/synthesis-of-phenol/" TargetMode="External"/><Relationship Id="rId3" Type="http://schemas.openxmlformats.org/officeDocument/2006/relationships/webSettings" Target="webSettings.xml"/><Relationship Id="rId7" Type="http://schemas.openxmlformats.org/officeDocument/2006/relationships/hyperlink" Target="http://www.prepchem.com/synthesis-of-carbon-dioxid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epchem.com/synthesis-of-phenol/" TargetMode="External"/><Relationship Id="rId11" Type="http://schemas.openxmlformats.org/officeDocument/2006/relationships/fontTable" Target="fontTable.xml"/><Relationship Id="rId5" Type="http://schemas.openxmlformats.org/officeDocument/2006/relationships/hyperlink" Target="http://www.prepchem.com/synthesis-of-sodium-hydroxide/" TargetMode="External"/><Relationship Id="rId10" Type="http://schemas.openxmlformats.org/officeDocument/2006/relationships/hyperlink" Target="http://www.prepchem.com/synthesis-of-phenol/" TargetMode="External"/><Relationship Id="rId4" Type="http://schemas.openxmlformats.org/officeDocument/2006/relationships/image" Target="media/image1.png"/><Relationship Id="rId9" Type="http://schemas.openxmlformats.org/officeDocument/2006/relationships/hyperlink" Target="http://www.prepchem.com/synthesis-of-pheno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687</Words>
  <Characters>3921</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Сергей</cp:lastModifiedBy>
  <cp:revision>2</cp:revision>
  <dcterms:created xsi:type="dcterms:W3CDTF">2019-01-01T16:11:00Z</dcterms:created>
  <dcterms:modified xsi:type="dcterms:W3CDTF">2019-01-01T16:47:00Z</dcterms:modified>
</cp:coreProperties>
</file>